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2" w:type="dxa"/>
        <w:tblLayout w:type="fixed"/>
        <w:tblLook w:val="01E0" w:firstRow="1" w:lastRow="1" w:firstColumn="1" w:lastColumn="1" w:noHBand="0" w:noVBand="0"/>
      </w:tblPr>
      <w:tblGrid>
        <w:gridCol w:w="3119"/>
        <w:gridCol w:w="5953"/>
      </w:tblGrid>
      <w:tr w:rsidR="002D3F8D" w:rsidRPr="002D3F8D" w14:paraId="2200BD7E" w14:textId="77777777" w:rsidTr="00B83D8B">
        <w:trPr>
          <w:trHeight w:hRule="exact" w:val="1133"/>
        </w:trPr>
        <w:tc>
          <w:tcPr>
            <w:tcW w:w="3119" w:type="dxa"/>
          </w:tcPr>
          <w:p w14:paraId="21CD3297" w14:textId="1A08618E" w:rsidR="004B7D2B" w:rsidRPr="002D3F8D" w:rsidRDefault="004B7D2B" w:rsidP="007D4782">
            <w:pPr>
              <w:pStyle w:val="Heading1"/>
              <w:jc w:val="center"/>
              <w:rPr>
                <w:rFonts w:ascii="Times New Roman" w:hAnsi="Times New Roman"/>
                <w:noProof/>
              </w:rPr>
            </w:pPr>
            <w:r w:rsidRPr="002D3F8D">
              <w:rPr>
                <w:rFonts w:ascii="Times New Roman" w:hAnsi="Times New Roman"/>
                <w:noProof/>
              </w:rPr>
              <w:t>ỦY BAN NHÂN DÂN</w:t>
            </w:r>
          </w:p>
          <w:p w14:paraId="581A92B6" w14:textId="77777777" w:rsidR="004B7D2B" w:rsidRPr="002D3F8D" w:rsidRDefault="004B7D2B" w:rsidP="007D4782">
            <w:pPr>
              <w:pStyle w:val="Heading1"/>
              <w:jc w:val="center"/>
              <w:rPr>
                <w:rFonts w:ascii="Times New Roman" w:hAnsi="Times New Roman"/>
              </w:rPr>
            </w:pPr>
            <w:r w:rsidRPr="002D3F8D">
              <w:rPr>
                <w:rFonts w:ascii="Times New Roman" w:hAnsi="Times New Roman"/>
                <w:noProof/>
              </w:rPr>
              <w:t>TỈNH QUẢNG NGÃI</w:t>
            </w:r>
          </w:p>
          <w:p w14:paraId="0E7B3161" w14:textId="6BC71FC3" w:rsidR="004B7D2B" w:rsidRPr="002D3F8D" w:rsidRDefault="004B7D2B" w:rsidP="007D4782">
            <w:pPr>
              <w:jc w:val="center"/>
              <w:rPr>
                <w:b/>
                <w:sz w:val="16"/>
                <w:szCs w:val="16"/>
              </w:rPr>
            </w:pPr>
            <w:r w:rsidRPr="002D3F8D">
              <w:rPr>
                <w:noProof/>
                <w:sz w:val="16"/>
                <w:szCs w:val="16"/>
              </w:rPr>
              <mc:AlternateContent>
                <mc:Choice Requires="wps">
                  <w:drawing>
                    <wp:anchor distT="0" distB="0" distL="114300" distR="114300" simplePos="0" relativeHeight="251659264" behindDoc="0" locked="0" layoutInCell="1" allowOverlap="1" wp14:anchorId="2FEB59F5" wp14:editId="2493A454">
                      <wp:simplePos x="0" y="0"/>
                      <wp:positionH relativeFrom="column">
                        <wp:posOffset>573709</wp:posOffset>
                      </wp:positionH>
                      <wp:positionV relativeFrom="paragraph">
                        <wp:posOffset>34290</wp:posOffset>
                      </wp:positionV>
                      <wp:extent cx="709295" cy="0"/>
                      <wp:effectExtent l="0" t="0" r="3365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92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21EE896F"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15pt,2.7pt" to="101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zDWHAIAADUEAAAOAAAAZHJzL2Uyb0RvYy54bWysU8uu2yAQ3VfqPyD2iR9Nch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DlGivTQ&#10;op23RLSdR5VWCgTUFuVBp8G4AsIrtbWhUnpSO/Oi6XeHlK46oloe+b6eDYBkISN5kxI2zsBt++Gz&#10;ZhBDDl5H0U6N7QMkyIFOsTfne2/4ySMKh0/pIl9MMaI3V0KKW56xzn/iukfBKLEUKqhGCnJ8cT7w&#10;IMUtJBwrvRFSxs5LhYYSL6b5NCY4LQULzhDmbLuvpEVHEmYnfrEo8DyGWX1QLIJ1nLD11fZEyIsN&#10;l0sV8KASoHO1LsPxY5Eu1vP1fDKa5LP1aJLW9ejjppqMZpvsaVp/qKuqzn4Gatmk6ARjXAV2t0HN&#10;Jn83CNcncxmx+6jeZUjeoke9gOztH0nHVobuXeZgr9l5a28thtmMwdd3FIb/cQ/242tf/QIAAP//&#10;AwBQSwMEFAAGAAgAAAAhABKYUp7aAAAABgEAAA8AAABkcnMvZG93bnJldi54bWxMj8FOwzAQRO9I&#10;/IO1SFwqapMCghCnQkBuXFpAXLfxkkTE6zR228DXs3CB42hGM2+K5eR7tacxdoEtnM8NKOI6uI4b&#10;Cy/P1dk1qJiQHfaBycInRViWx0cF5i4ceEX7dWqUlHDM0UKb0pBrHeuWPMZ5GIjFew+jxyRybLQb&#10;8SDlvteZMVfaY8ey0OJA9y3VH+udtxCrV9pWX7N6Zt4WTaBs+/D0iNaenkx3t6ASTekvDD/4gg6l&#10;MG3Cjl1UvYUbs5CkhcsLUGJnJpNrm1+ty0L/xy+/AQAA//8DAFBLAQItABQABgAIAAAAIQC2gziS&#10;/gAAAOEBAAATAAAAAAAAAAAAAAAAAAAAAABbQ29udGVudF9UeXBlc10ueG1sUEsBAi0AFAAGAAgA&#10;AAAhADj9If/WAAAAlAEAAAsAAAAAAAAAAAAAAAAALwEAAF9yZWxzLy5yZWxzUEsBAi0AFAAGAAgA&#10;AAAhAAIXMNYcAgAANQQAAA4AAAAAAAAAAAAAAAAALgIAAGRycy9lMm9Eb2MueG1sUEsBAi0AFAAG&#10;AAgAAAAhABKYUp7aAAAABgEAAA8AAAAAAAAAAAAAAAAAdgQAAGRycy9kb3ducmV2LnhtbFBLBQYA&#10;AAAABAAEAPMAAAB9BQAAAAA=&#10;"/>
                  </w:pict>
                </mc:Fallback>
              </mc:AlternateContent>
            </w:r>
          </w:p>
          <w:p w14:paraId="272200E0" w14:textId="32B84343" w:rsidR="004B7D2B" w:rsidRPr="002D3F8D" w:rsidRDefault="004B7D2B" w:rsidP="007D4782">
            <w:pPr>
              <w:ind w:left="318" w:hanging="318"/>
              <w:jc w:val="center"/>
              <w:rPr>
                <w:sz w:val="26"/>
                <w:szCs w:val="26"/>
              </w:rPr>
            </w:pPr>
            <w:r w:rsidRPr="002D3F8D">
              <w:rPr>
                <w:sz w:val="26"/>
                <w:szCs w:val="26"/>
              </w:rPr>
              <w:t>Số:</w:t>
            </w:r>
            <w:r w:rsidRPr="002D3F8D">
              <w:rPr>
                <w:b/>
                <w:sz w:val="26"/>
                <w:szCs w:val="26"/>
              </w:rPr>
              <w:t xml:space="preserve">          </w:t>
            </w:r>
            <w:r w:rsidRPr="002D3F8D">
              <w:rPr>
                <w:sz w:val="26"/>
                <w:szCs w:val="26"/>
              </w:rPr>
              <w:t>/TTr-UBND</w:t>
            </w:r>
          </w:p>
          <w:p w14:paraId="5E885269" w14:textId="77777777" w:rsidR="004B7D2B" w:rsidRPr="002D3F8D" w:rsidRDefault="004B7D2B" w:rsidP="007D4782">
            <w:pPr>
              <w:ind w:left="318" w:hanging="318"/>
              <w:jc w:val="center"/>
              <w:rPr>
                <w:sz w:val="26"/>
                <w:szCs w:val="26"/>
              </w:rPr>
            </w:pPr>
          </w:p>
          <w:p w14:paraId="2ECE7976" w14:textId="77777777" w:rsidR="004B7D2B" w:rsidRPr="002D3F8D" w:rsidRDefault="004B7D2B" w:rsidP="007D4782">
            <w:pPr>
              <w:ind w:left="318" w:hanging="318"/>
              <w:jc w:val="center"/>
              <w:rPr>
                <w:sz w:val="26"/>
                <w:szCs w:val="26"/>
              </w:rPr>
            </w:pPr>
          </w:p>
        </w:tc>
        <w:tc>
          <w:tcPr>
            <w:tcW w:w="5953" w:type="dxa"/>
          </w:tcPr>
          <w:p w14:paraId="42166C40" w14:textId="77777777" w:rsidR="004B7D2B" w:rsidRPr="002D3F8D" w:rsidRDefault="004B7D2B" w:rsidP="00B83D8B">
            <w:pPr>
              <w:ind w:left="-75"/>
              <w:jc w:val="center"/>
              <w:rPr>
                <w:b/>
                <w:sz w:val="26"/>
                <w:szCs w:val="26"/>
              </w:rPr>
            </w:pPr>
            <w:r w:rsidRPr="002D3F8D">
              <w:rPr>
                <w:b/>
                <w:sz w:val="26"/>
                <w:szCs w:val="26"/>
              </w:rPr>
              <w:t>CỘNG HÒA XÃ HỘI CHỦ NGHĨA VIỆT NAM</w:t>
            </w:r>
          </w:p>
          <w:p w14:paraId="7143988E" w14:textId="77777777" w:rsidR="004B7D2B" w:rsidRPr="002D3F8D" w:rsidRDefault="004B7D2B" w:rsidP="007D4782">
            <w:pPr>
              <w:jc w:val="center"/>
              <w:rPr>
                <w:b/>
              </w:rPr>
            </w:pPr>
            <w:r w:rsidRPr="002D3F8D">
              <w:rPr>
                <w:b/>
              </w:rPr>
              <w:t>Độc lập - Tự do - Hạnh phúc</w:t>
            </w:r>
          </w:p>
          <w:p w14:paraId="49408076" w14:textId="1083A9F2" w:rsidR="004B7D2B" w:rsidRPr="002D3F8D" w:rsidRDefault="004B7D2B" w:rsidP="007D4782">
            <w:pPr>
              <w:jc w:val="center"/>
              <w:rPr>
                <w:b/>
                <w:sz w:val="16"/>
                <w:szCs w:val="16"/>
              </w:rPr>
            </w:pPr>
            <w:r w:rsidRPr="002D3F8D">
              <w:rPr>
                <w:noProof/>
                <w:sz w:val="16"/>
                <w:szCs w:val="16"/>
              </w:rPr>
              <mc:AlternateContent>
                <mc:Choice Requires="wps">
                  <w:drawing>
                    <wp:anchor distT="0" distB="0" distL="114300" distR="114300" simplePos="0" relativeHeight="251660288" behindDoc="0" locked="0" layoutInCell="1" allowOverlap="1" wp14:anchorId="72E6DDAC" wp14:editId="69E09B93">
                      <wp:simplePos x="0" y="0"/>
                      <wp:positionH relativeFrom="column">
                        <wp:posOffset>736296</wp:posOffset>
                      </wp:positionH>
                      <wp:positionV relativeFrom="paragraph">
                        <wp:posOffset>19050</wp:posOffset>
                      </wp:positionV>
                      <wp:extent cx="2149475" cy="0"/>
                      <wp:effectExtent l="0" t="0" r="2222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49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7035883D" id="Straight Connector 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pt,1.5pt" to="227.2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HCyJQIAAEAEAAAOAAAAZHJzL2Uyb0RvYy54bWysU02P2yAQvVfqf0DcE9ups5tYcVaVnfSy&#10;7UbKtncC2EbFgIDEiar+9w7ko017qar6gPl483jzZlg8HXuJDtw6oVWJs3GKEVdUM6HaEn9+XY9m&#10;GDlPFCNSK17iE3f4afn2zWIwBZ/oTkvGLQIS5YrBlLjz3hRJ4mjHe+LG2nAFh422PfGwtG3CLBmA&#10;vZfJJE0fkkFbZqym3DnYrc+HeBn5m4ZT/9I0jnskSwzafBxtHHdhTJYLUrSWmE7QiwzyDyp6IhRc&#10;eqOqiSdob8UfVL2gVjvd+DHVfaKbRlAec4BssvS3bLYdMTzmAuY4c7PJ/T9a+umwsUgwqB1GivRQ&#10;oq23RLSdR5VWCgzUFmXBp8G4AuCV2tiQKT2qrXnW9KtDSlcdUS2Pel9PBkhiRHIXEhbOwG274aNm&#10;gCF7r6Npx8b2qJHCfAmBgRyMQcdYpdOtSvzoEYXNSZbP88cpRvR6lpAiUIRAY53/wHWPwqTEUqhg&#10;ICnI4dl5SAKgV0jYVnotpIxNIBUaSjyfTqYxwGkpWDgMMGfbXSUtOpDQRvELjgDZHczqvWKRrOOE&#10;rS5zT4Q8zwEvVeCDVEDOZXbuk2/zdL6arWb5KJ88rEZ5Wtej9+sqHz2ss8dp/a6uqjr7HqRledEJ&#10;xrgK6q49m+V/1xOX13PutlvX3mxI7tljiiD2+o+iY1VDIc8tsdPstLHBjVBgaNMIvjyp8A5+XUfU&#10;z4e//AEAAP//AwBQSwMEFAAGAAgAAAAhANoWUlrbAAAABwEAAA8AAABkcnMvZG93bnJldi54bWxM&#10;j01PwzAMhu9I/IfISNxYuk9BaTpN0+AyCYnR7Zw2pq1InKrJuvLvZ7jAyXr0Wq8fZ+vRWTFgH1pP&#10;CqaTBARS5U1LtYLi4+XhEUSImoy2nlDBNwZY57c3mU6Nv9A7DodYCy6hkGoFTYxdKmWoGnQ6THyH&#10;xNmn752OjH0tTa8vXO6snCXJSjrdEl9odIfbBquvw9kp2Jz2u/nbUDpvzVNdHI0rkteZUvd34+YZ&#10;RMQx/i3Djz6rQ85OpT+TCcIyT1f8S1Qw58H5YrlYgih/WeaZ/O+fXwEAAP//AwBQSwECLQAUAAYA&#10;CAAAACEAtoM4kv4AAADhAQAAEwAAAAAAAAAAAAAAAAAAAAAAW0NvbnRlbnRfVHlwZXNdLnhtbFBL&#10;AQItABQABgAIAAAAIQA4/SH/1gAAAJQBAAALAAAAAAAAAAAAAAAAAC8BAABfcmVscy8ucmVsc1BL&#10;AQItABQABgAIAAAAIQCp0HCyJQIAAEAEAAAOAAAAAAAAAAAAAAAAAC4CAABkcnMvZTJvRG9jLnht&#10;bFBLAQItABQABgAIAAAAIQDaFlJa2wAAAAcBAAAPAAAAAAAAAAAAAAAAAH8EAABkcnMvZG93bnJl&#10;di54bWxQSwUGAAAAAAQABADzAAAAhwUAAAAA&#10;"/>
                  </w:pict>
                </mc:Fallback>
              </mc:AlternateContent>
            </w:r>
          </w:p>
          <w:p w14:paraId="4A8D18E4" w14:textId="6A3E502D" w:rsidR="004B7D2B" w:rsidRPr="002D3F8D" w:rsidRDefault="004B7D2B" w:rsidP="007D4782">
            <w:pPr>
              <w:jc w:val="center"/>
              <w:rPr>
                <w:i/>
              </w:rPr>
            </w:pPr>
            <w:r w:rsidRPr="002D3F8D">
              <w:rPr>
                <w:i/>
              </w:rPr>
              <w:t>Quảng Ngãi, ngày       tháng</w:t>
            </w:r>
            <w:r w:rsidR="00B83D8B" w:rsidRPr="002D3F8D">
              <w:rPr>
                <w:i/>
              </w:rPr>
              <w:t xml:space="preserve">     </w:t>
            </w:r>
            <w:r w:rsidRPr="002D3F8D">
              <w:rPr>
                <w:i/>
              </w:rPr>
              <w:t xml:space="preserve"> năm 2025</w:t>
            </w:r>
          </w:p>
        </w:tc>
      </w:tr>
      <w:tr w:rsidR="002D3F8D" w:rsidRPr="002D3F8D" w14:paraId="3CCEF52C" w14:textId="77777777" w:rsidTr="00B83D8B">
        <w:trPr>
          <w:trHeight w:hRule="exact" w:val="80"/>
        </w:trPr>
        <w:tc>
          <w:tcPr>
            <w:tcW w:w="3119" w:type="dxa"/>
          </w:tcPr>
          <w:p w14:paraId="11725C60" w14:textId="77777777" w:rsidR="004B7D2B" w:rsidRPr="002D3F8D" w:rsidRDefault="004B7D2B" w:rsidP="007D4782">
            <w:pPr>
              <w:pStyle w:val="Heading1"/>
              <w:jc w:val="center"/>
              <w:rPr>
                <w:rFonts w:ascii="Times New Roman" w:hAnsi="Times New Roman"/>
                <w:b w:val="0"/>
                <w:noProof/>
              </w:rPr>
            </w:pPr>
          </w:p>
        </w:tc>
        <w:tc>
          <w:tcPr>
            <w:tcW w:w="5953" w:type="dxa"/>
          </w:tcPr>
          <w:p w14:paraId="6B4E7AEE" w14:textId="77777777" w:rsidR="004B7D2B" w:rsidRPr="002D3F8D" w:rsidRDefault="004B7D2B" w:rsidP="007D4782">
            <w:pPr>
              <w:jc w:val="center"/>
              <w:rPr>
                <w:b/>
                <w:sz w:val="25"/>
                <w:szCs w:val="25"/>
              </w:rPr>
            </w:pPr>
          </w:p>
        </w:tc>
      </w:tr>
    </w:tbl>
    <w:p w14:paraId="6AA0646F" w14:textId="77777777" w:rsidR="004B7D2B" w:rsidRPr="002D3F8D" w:rsidRDefault="004B7D2B" w:rsidP="004B7D2B">
      <w:pPr>
        <w:tabs>
          <w:tab w:val="left" w:pos="284"/>
          <w:tab w:val="left" w:pos="3605"/>
          <w:tab w:val="center" w:pos="4677"/>
        </w:tabs>
        <w:rPr>
          <w:b/>
          <w:bCs/>
          <w:sz w:val="4"/>
          <w:szCs w:val="26"/>
        </w:rPr>
      </w:pPr>
      <w:r w:rsidRPr="002D3F8D">
        <w:rPr>
          <w:b/>
          <w:bCs/>
          <w:sz w:val="26"/>
          <w:szCs w:val="26"/>
        </w:rPr>
        <w:tab/>
      </w:r>
      <w:r w:rsidRPr="002D3F8D">
        <w:rPr>
          <w:b/>
          <w:bCs/>
          <w:sz w:val="26"/>
          <w:szCs w:val="26"/>
        </w:rPr>
        <w:tab/>
      </w:r>
      <w:r w:rsidRPr="002D3F8D">
        <w:rPr>
          <w:b/>
          <w:bCs/>
          <w:sz w:val="26"/>
          <w:szCs w:val="26"/>
        </w:rPr>
        <w:tab/>
      </w:r>
    </w:p>
    <w:p w14:paraId="2639F328" w14:textId="2D81C7E6" w:rsidR="004B7D2B" w:rsidRPr="002D3F8D" w:rsidRDefault="00C35879" w:rsidP="00C35879">
      <w:pPr>
        <w:rPr>
          <w:b/>
        </w:rPr>
      </w:pPr>
      <w:r w:rsidRPr="002D3F8D">
        <w:rPr>
          <w:b/>
        </w:rPr>
        <w:t xml:space="preserve">            (DỰ THẢO)</w:t>
      </w:r>
    </w:p>
    <w:p w14:paraId="1832108A" w14:textId="77777777" w:rsidR="004B7D2B" w:rsidRPr="002D3F8D" w:rsidRDefault="004B7D2B" w:rsidP="004B7D2B">
      <w:pPr>
        <w:jc w:val="center"/>
        <w:rPr>
          <w:bCs/>
          <w:sz w:val="20"/>
        </w:rPr>
      </w:pPr>
    </w:p>
    <w:p w14:paraId="53B12ACA" w14:textId="77777777" w:rsidR="004B7D2B" w:rsidRPr="002D3F8D" w:rsidRDefault="004B7D2B" w:rsidP="004B7D2B">
      <w:pPr>
        <w:tabs>
          <w:tab w:val="left" w:pos="3605"/>
          <w:tab w:val="center" w:pos="4677"/>
        </w:tabs>
        <w:jc w:val="center"/>
        <w:rPr>
          <w:b/>
          <w:bCs/>
        </w:rPr>
      </w:pPr>
      <w:r w:rsidRPr="002D3F8D">
        <w:rPr>
          <w:b/>
          <w:bCs/>
        </w:rPr>
        <w:t>TỜ TRÌNH</w:t>
      </w:r>
    </w:p>
    <w:p w14:paraId="5DD09111" w14:textId="2F277826" w:rsidR="00877C02" w:rsidRPr="002D3F8D" w:rsidRDefault="00A20B0A" w:rsidP="00877C02">
      <w:pPr>
        <w:jc w:val="center"/>
        <w:rPr>
          <w:b/>
          <w:bCs/>
        </w:rPr>
      </w:pPr>
      <w:r w:rsidRPr="002D3F8D">
        <w:rPr>
          <w:b/>
          <w:bCs/>
        </w:rPr>
        <w:t>Về việc đ</w:t>
      </w:r>
      <w:r w:rsidR="00147B75" w:rsidRPr="002D3F8D">
        <w:rPr>
          <w:b/>
          <w:bCs/>
        </w:rPr>
        <w:t>ề nghị</w:t>
      </w:r>
      <w:r w:rsidR="00877C02" w:rsidRPr="002D3F8D">
        <w:rPr>
          <w:b/>
          <w:bCs/>
        </w:rPr>
        <w:t xml:space="preserve"> </w:t>
      </w:r>
      <w:r w:rsidR="00C35879" w:rsidRPr="002D3F8D">
        <w:rPr>
          <w:b/>
          <w:bCs/>
        </w:rPr>
        <w:t xml:space="preserve">ban hành </w:t>
      </w:r>
      <w:r w:rsidR="00877C02" w:rsidRPr="002D3F8D">
        <w:rPr>
          <w:b/>
          <w:bCs/>
        </w:rPr>
        <w:t xml:space="preserve">Nghị quyết </w:t>
      </w:r>
      <w:r w:rsidR="009D7347">
        <w:rPr>
          <w:b/>
          <w:bCs/>
        </w:rPr>
        <w:t>q</w:t>
      </w:r>
      <w:r w:rsidR="00594AE3" w:rsidRPr="002D3F8D">
        <w:rPr>
          <w:b/>
          <w:bCs/>
        </w:rPr>
        <w:t>uy định mức thu, chế độ thu, nộp, quản lý và sử dụng phí thẩm định báo cáo đánh giá tác động môi trường; phí thẩm định phương án cải tạo, phục hồi môi trường; phí thẩm định cấp, cấp lại giấy phép môi trường trên địa bàn tỉnh Quảng Ngãi</w:t>
      </w:r>
    </w:p>
    <w:p w14:paraId="0F558710" w14:textId="3F65F0B7" w:rsidR="00877C02" w:rsidRPr="002D3F8D" w:rsidRDefault="00594AE3" w:rsidP="00877C02">
      <w:pPr>
        <w:jc w:val="center"/>
        <w:rPr>
          <w:sz w:val="14"/>
          <w:szCs w:val="14"/>
        </w:rPr>
      </w:pPr>
      <w:r w:rsidRPr="002D3F8D">
        <w:rPr>
          <w:b/>
          <w:bCs/>
          <w:noProof/>
        </w:rPr>
        <mc:AlternateContent>
          <mc:Choice Requires="wps">
            <w:drawing>
              <wp:anchor distT="0" distB="0" distL="114300" distR="114300" simplePos="0" relativeHeight="251663360" behindDoc="0" locked="0" layoutInCell="1" allowOverlap="1" wp14:anchorId="165B0E34" wp14:editId="22530294">
                <wp:simplePos x="0" y="0"/>
                <wp:positionH relativeFrom="column">
                  <wp:posOffset>2386965</wp:posOffset>
                </wp:positionH>
                <wp:positionV relativeFrom="paragraph">
                  <wp:posOffset>22698</wp:posOffset>
                </wp:positionV>
                <wp:extent cx="1035050" cy="0"/>
                <wp:effectExtent l="0" t="0" r="31750" b="19050"/>
                <wp:wrapNone/>
                <wp:docPr id="3" name="Straight Connector 3"/>
                <wp:cNvGraphicFramePr/>
                <a:graphic xmlns:a="http://schemas.openxmlformats.org/drawingml/2006/main">
                  <a:graphicData uri="http://schemas.microsoft.com/office/word/2010/wordprocessingShape">
                    <wps:wsp>
                      <wps:cNvCnPr/>
                      <wps:spPr>
                        <a:xfrm>
                          <a:off x="0" y="0"/>
                          <a:ext cx="1035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488E6A51" id="Straight Connector 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87.95pt,1.8pt" to="269.4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CPutQEAALcDAAAOAAAAZHJzL2Uyb0RvYy54bWysU8GOEzEMvSPxD1HudKZbLUKjTvfQFVwQ&#10;VCx8QDbjdKJN4sgJnfbvcdJ2FgFCCO3FEyfv2X62Z3139E4cgJLF0MvlopUCgsbBhn0vv319/+ad&#10;FCmrMCiHAXp5giTvNq9frafYwQ2O6AYgwUFC6qbYyzHn2DVN0iN4lRYYIfCjQfIqs0v7ZiA1cXTv&#10;mpu2fdtMSEMk1JAS396fH+WmxjcGdP5sTIIsXC+5tlwtVftYbLNZq25PKo5WX8pQ/1GFVzZw0jnU&#10;vcpKfCf7WyhvNWFCkxcafYPGWA1VA6tZtr+oeRhVhKqFm5Pi3Kb0cmH1p8OOhB16uZIiKM8jesik&#10;7H7MYoshcAORxKr0aYqpY/g27OjipbijIvpoyJcvyxHH2tvT3Fs4ZqH5ctmubttbHoG+vjXPxEgp&#10;fwD0ohx66WwoslWnDh9T5mQMvULYKYWcU9dTPjkoYBe+gGEpJVll1yWCrSNxUDz+4WlZZHCsiiwU&#10;Y52bSe3fSRdsoUFdrH8lzuiaEUOeid4GpD9lzcdrqeaMv6o+ay2yH3E41UHUdvB2VGWXTS7r97Nf&#10;6c//2+YHAAAA//8DAFBLAwQUAAYACAAAACEAejGNVtsAAAAHAQAADwAAAGRycy9kb3ducmV2Lnht&#10;bEyOwU7DMBBE70j8g7VI3KhDq4aSxqmqSghxQTSFuxu7Toq9jmwnDX/PwgVu+zSj2VduJmfZqEPs&#10;PAq4n2XANDZedWgEvB+e7lbAYpKopPWoBXzpCJvq+qqUhfIX3OuxTobRCMZCCmhT6gvOY9NqJ+PM&#10;9xopO/ngZCIMhqsgLzTuLJ9nWc6d7JA+tLLXu1Y3n/XgBNiXMH6YndnG4Xmf1+e30/z1MApxezNt&#10;18CSntJfGX70SR0qcjr6AVVkVsDiYflIVTpyYJQvFyvi4y/zquT//atvAAAA//8DAFBLAQItABQA&#10;BgAIAAAAIQC2gziS/gAAAOEBAAATAAAAAAAAAAAAAAAAAAAAAABbQ29udGVudF9UeXBlc10ueG1s&#10;UEsBAi0AFAAGAAgAAAAhADj9If/WAAAAlAEAAAsAAAAAAAAAAAAAAAAALwEAAF9yZWxzLy5yZWxz&#10;UEsBAi0AFAAGAAgAAAAhAJckI+61AQAAtwMAAA4AAAAAAAAAAAAAAAAALgIAAGRycy9lMm9Eb2Mu&#10;eG1sUEsBAi0AFAAGAAgAAAAhAHoxjVbbAAAABwEAAA8AAAAAAAAAAAAAAAAADwQAAGRycy9kb3du&#10;cmV2LnhtbFBLBQYAAAAABAAEAPMAAAAXBQAAAAA=&#10;" strokecolor="black [3200]" strokeweight=".5pt">
                <v:stroke joinstyle="miter"/>
              </v:line>
            </w:pict>
          </mc:Fallback>
        </mc:AlternateContent>
      </w:r>
    </w:p>
    <w:p w14:paraId="098C8630" w14:textId="77777777" w:rsidR="00594AE3" w:rsidRPr="002D3F8D" w:rsidRDefault="00594AE3" w:rsidP="00877C02">
      <w:pPr>
        <w:jc w:val="center"/>
      </w:pPr>
    </w:p>
    <w:p w14:paraId="5FE8D701" w14:textId="70E7D969" w:rsidR="00A81233" w:rsidRPr="002D3F8D" w:rsidRDefault="00877C02" w:rsidP="00877C02">
      <w:pPr>
        <w:jc w:val="center"/>
        <w:rPr>
          <w:bCs/>
        </w:rPr>
      </w:pPr>
      <w:r w:rsidRPr="002D3F8D">
        <w:t>Kính gửi:</w:t>
      </w:r>
      <w:r w:rsidRPr="002D3F8D">
        <w:rPr>
          <w:bCs/>
        </w:rPr>
        <w:t xml:space="preserve"> Hội đồng nhân dân tỉnh</w:t>
      </w:r>
    </w:p>
    <w:p w14:paraId="2B1B7DB2" w14:textId="58B1DC9F" w:rsidR="00877C02" w:rsidRPr="002D3F8D" w:rsidRDefault="00877C02" w:rsidP="00877C02">
      <w:pPr>
        <w:jc w:val="center"/>
        <w:rPr>
          <w:bCs/>
          <w:sz w:val="18"/>
          <w:szCs w:val="18"/>
        </w:rPr>
      </w:pPr>
    </w:p>
    <w:p w14:paraId="440D5FC6" w14:textId="41BA6559" w:rsidR="00594AE3" w:rsidRPr="002D3F8D" w:rsidRDefault="00594AE3" w:rsidP="009E1625">
      <w:pPr>
        <w:shd w:val="clear" w:color="auto" w:fill="FFFFFF"/>
        <w:spacing w:before="120"/>
        <w:ind w:firstLine="720"/>
        <w:jc w:val="both"/>
      </w:pPr>
      <w:r w:rsidRPr="002D3F8D">
        <w:rPr>
          <w:rStyle w:val="fontstyle01"/>
          <w:color w:val="auto"/>
        </w:rPr>
        <w:t>Thực hiện quy định của Luật Tổ chức chính quyền địa phương ngày</w:t>
      </w:r>
      <w:r w:rsidRPr="002D3F8D">
        <w:br/>
      </w:r>
      <w:r w:rsidRPr="002D3F8D">
        <w:rPr>
          <w:rStyle w:val="fontstyle01"/>
          <w:color w:val="auto"/>
        </w:rPr>
        <w:t>16/6/2025; Luật Ban hành văn bản pháp luật ngày 19/02/2025 và Luật sửa đổi,</w:t>
      </w:r>
      <w:r w:rsidRPr="002D3F8D">
        <w:br/>
      </w:r>
      <w:r w:rsidRPr="002D3F8D">
        <w:rPr>
          <w:rStyle w:val="fontstyle01"/>
          <w:color w:val="auto"/>
        </w:rPr>
        <w:t>bổ sung một số điều của Luật Ban hành văn bản quy phạm pháp luật ngày</w:t>
      </w:r>
      <w:r w:rsidRPr="002D3F8D">
        <w:br/>
      </w:r>
      <w:r w:rsidRPr="002D3F8D">
        <w:rPr>
          <w:rStyle w:val="fontstyle01"/>
          <w:color w:val="auto"/>
        </w:rPr>
        <w:t>25/6/2025; Nghị quyết số 202/2025/QH15 ngày 12/6/2025 của Quốc hội về sắp</w:t>
      </w:r>
      <w:r w:rsidRPr="002D3F8D">
        <w:br/>
      </w:r>
      <w:r w:rsidRPr="002D3F8D">
        <w:rPr>
          <w:rStyle w:val="fontstyle01"/>
          <w:color w:val="auto"/>
        </w:rPr>
        <w:t>xếp đơn vị hành chính cấp tỉnh; Nghị quyết số 76/2025/UBTVQH15 ngày</w:t>
      </w:r>
      <w:r w:rsidRPr="002D3F8D">
        <w:br/>
      </w:r>
      <w:r w:rsidRPr="002D3F8D">
        <w:rPr>
          <w:rStyle w:val="fontstyle01"/>
          <w:color w:val="auto"/>
        </w:rPr>
        <w:t>14/4/2025 của Ủy ban Thường vụ Quốc hội về việc sắp xếp đơn vị hành chính</w:t>
      </w:r>
      <w:r w:rsidRPr="002D3F8D">
        <w:br/>
      </w:r>
      <w:r w:rsidRPr="002D3F8D">
        <w:rPr>
          <w:rStyle w:val="fontstyle01"/>
          <w:color w:val="auto"/>
        </w:rPr>
        <w:t>năm 2025; Nghị quyết số 1677/NQ-UBTVQH15 ngày 16/6/2025 của Ủy ban</w:t>
      </w:r>
      <w:r w:rsidRPr="002D3F8D">
        <w:br/>
      </w:r>
      <w:r w:rsidRPr="002D3F8D">
        <w:rPr>
          <w:rStyle w:val="fontstyle01"/>
          <w:color w:val="auto"/>
        </w:rPr>
        <w:t>Thường vụ Quốc hội về việc sắp xếp các đơn vị hành chính cấp xã của tỉnh</w:t>
      </w:r>
      <w:r w:rsidRPr="002D3F8D">
        <w:br/>
      </w:r>
      <w:r w:rsidRPr="002D3F8D">
        <w:rPr>
          <w:rStyle w:val="fontstyle01"/>
          <w:color w:val="auto"/>
        </w:rPr>
        <w:t>Quảng Ngãi năm 2025; Luật Bảo vệ môi trường ngày 17/11/2020; Luật Phí và</w:t>
      </w:r>
      <w:r w:rsidRPr="002D3F8D">
        <w:br/>
      </w:r>
      <w:r w:rsidRPr="002D3F8D">
        <w:rPr>
          <w:rStyle w:val="fontstyle01"/>
          <w:color w:val="auto"/>
        </w:rPr>
        <w:t>Lệ phí năm 2015.</w:t>
      </w:r>
      <w:r w:rsidRPr="002D3F8D">
        <w:t xml:space="preserve"> </w:t>
      </w:r>
    </w:p>
    <w:p w14:paraId="2A6B85FA" w14:textId="62191226" w:rsidR="007806DD" w:rsidRPr="002D3F8D" w:rsidRDefault="007806DD" w:rsidP="009E1625">
      <w:pPr>
        <w:spacing w:before="120"/>
        <w:ind w:firstLine="720"/>
        <w:jc w:val="both"/>
      </w:pPr>
      <w:r w:rsidRPr="002D3F8D">
        <w:rPr>
          <w:highlight w:val="white"/>
          <w:lang w:val="nl-NL"/>
        </w:rPr>
        <w:t>Ủy ban nhân dân</w:t>
      </w:r>
      <w:r w:rsidRPr="002D3F8D">
        <w:rPr>
          <w:highlight w:val="white"/>
        </w:rPr>
        <w:t xml:space="preserve"> tỉnh kính trình Hội đồng nhân dân tỉnh</w:t>
      </w:r>
      <w:r w:rsidRPr="002D3F8D">
        <w:rPr>
          <w:lang w:val="nl-NL"/>
        </w:rPr>
        <w:t xml:space="preserve"> Kỳ họp thứ </w:t>
      </w:r>
      <w:r w:rsidR="00B64A76" w:rsidRPr="002D3F8D">
        <w:rPr>
          <w:lang w:val="nl-NL"/>
        </w:rPr>
        <w:t>6</w:t>
      </w:r>
      <w:r w:rsidRPr="002D3F8D">
        <w:rPr>
          <w:lang w:val="nl-NL"/>
        </w:rPr>
        <w:t xml:space="preserve"> (Kỳ họp </w:t>
      </w:r>
      <w:r w:rsidR="00B64A76" w:rsidRPr="002D3F8D">
        <w:rPr>
          <w:lang w:val="nl-NL"/>
        </w:rPr>
        <w:t>thường lệ cuối năm 2025</w:t>
      </w:r>
      <w:r w:rsidRPr="002D3F8D">
        <w:t>) của Hội đồng nhân dân tỉnh</w:t>
      </w:r>
      <w:r w:rsidR="001A5746" w:rsidRPr="002D3F8D">
        <w:t xml:space="preserve"> ban hành Nghị quyết </w:t>
      </w:r>
      <w:r w:rsidR="009D7347">
        <w:t>q</w:t>
      </w:r>
      <w:r w:rsidR="00902CE4" w:rsidRPr="002D3F8D">
        <w:t>uy định mức thu, chế độ thu, nộp, quản lý và sử dụng phí thẩm định báo cáo đánh giá tác động môi trường; phí thẩm định phương án cải tạo, phục hồi</w:t>
      </w:r>
      <w:r w:rsidR="00B64A76" w:rsidRPr="002D3F8D">
        <w:t xml:space="preserve"> môi trường; phí thẩm định cấp, cấp </w:t>
      </w:r>
      <w:r w:rsidR="009D7347">
        <w:t>lại</w:t>
      </w:r>
      <w:r w:rsidR="00902CE4" w:rsidRPr="002D3F8D">
        <w:t xml:space="preserve"> giấy phép môi trường trên địa bàn tỉnh Quảng Ngãi</w:t>
      </w:r>
      <w:r w:rsidR="0047484F" w:rsidRPr="002D3F8D">
        <w:t xml:space="preserve"> như sau:</w:t>
      </w:r>
    </w:p>
    <w:p w14:paraId="1BEFFBF5" w14:textId="77777777" w:rsidR="00AA64FA" w:rsidRPr="002D3F8D" w:rsidRDefault="00AA64FA" w:rsidP="009E1625">
      <w:pPr>
        <w:spacing w:before="120"/>
        <w:ind w:firstLine="720"/>
        <w:jc w:val="both"/>
        <w:rPr>
          <w:b/>
          <w:bCs/>
          <w:highlight w:val="white"/>
        </w:rPr>
      </w:pPr>
      <w:r w:rsidRPr="002D3F8D">
        <w:rPr>
          <w:b/>
          <w:bCs/>
          <w:highlight w:val="white"/>
        </w:rPr>
        <w:t>I. SỰ CẦN THIẾT BAN HÀNH NGHỊ QUYẾT</w:t>
      </w:r>
    </w:p>
    <w:p w14:paraId="2F6AB3F9" w14:textId="1CEEBB98" w:rsidR="000F4095" w:rsidRPr="002D3F8D" w:rsidRDefault="000F4095" w:rsidP="000F4095">
      <w:pPr>
        <w:spacing w:before="120"/>
        <w:ind w:firstLine="720"/>
        <w:jc w:val="both"/>
      </w:pPr>
      <w:r w:rsidRPr="002D3F8D">
        <w:t>Ngày 17 tháng 11 năm 2020, Quốc hội nước Cộng hòa Xã hội Chủ nghĩa Việt Nam Khóa XIV, kỳ họp thứ 10 thông qua Luật Bảo vệ môi trường và có hiệu lực thi hành kể từ ngày 01/01/2022, trong đó quy định các nội dung về thẩm định báo cáo đánh giá tác động môi trường; thẩm định phương án cải tạo, phục hồi môi trường; cấp, cấp đổi, điều chỉnh, cấp lại Giấy phép môi trường.</w:t>
      </w:r>
    </w:p>
    <w:p w14:paraId="6D3197B1" w14:textId="78FDF4DF" w:rsidR="000F4095" w:rsidRPr="002D3F8D" w:rsidRDefault="000F4095" w:rsidP="000F4095">
      <w:pPr>
        <w:spacing w:before="120"/>
        <w:ind w:firstLine="720"/>
        <w:jc w:val="both"/>
      </w:pPr>
      <w:r w:rsidRPr="002D3F8D">
        <w:t xml:space="preserve">Căn cứ mục IX Phụ lục 01 Luật Phí và Lệ phí năm 2015, trong đó quy định phí thuộc lĩnh vực </w:t>
      </w:r>
      <w:r w:rsidR="009D7347" w:rsidRPr="002D3F8D">
        <w:t xml:space="preserve">tài </w:t>
      </w:r>
      <w:r w:rsidRPr="002D3F8D">
        <w:t xml:space="preserve">nguyên và </w:t>
      </w:r>
      <w:r w:rsidR="009D7347">
        <w:t>m</w:t>
      </w:r>
      <w:r w:rsidRPr="002D3F8D">
        <w:t>ôi trường gồm phí thẩm định báo cáo đánh giá tác động môi trường, phí thẩm định phương án cải tạo, phục hồi môi trường và quy định tại khoản 3 Điều 45 Luật Bảo vệ môi trường năm 2020 quy định: “Hội đồng nhân dân cấp tỉnh quy định chế độ thu, nộp, quản lý và sử dụng phí thẩm định cấp, cấp lại, điều chỉnh giấy phép môi trường thuộc thẩm quyền cấp giấy phép môi trường của Ủy ban nhân dân cấp tỉnh theo quy định của pháp luật”.</w:t>
      </w:r>
    </w:p>
    <w:p w14:paraId="3063285D" w14:textId="2584CA92" w:rsidR="000F4095" w:rsidRPr="002D3F8D" w:rsidRDefault="000F4095" w:rsidP="000F4095">
      <w:pPr>
        <w:spacing w:before="120"/>
        <w:ind w:firstLine="720"/>
        <w:jc w:val="both"/>
      </w:pPr>
      <w:r w:rsidRPr="002D3F8D">
        <w:lastRenderedPageBreak/>
        <w:t xml:space="preserve">Đối với quy định mức thu, chế độ thu, nộp, quản lý và sử dụng phí thẩm định báo cáo đánh giá tác động môi trường; phí thẩm định phương án cải tạo, phục hồi môi trường; phí thẩm định cấp, cấp lại, điều chỉnh giấy phép môi trường thuộc thẩm quyền của Ủy ban nhân dân cấp tỉnh đã được Ủy ban nhân dân tỉnh Quảng Ngãi (cũ) trình Hội đồng nhân dân tỉnh ban hành Nghị quyết số 13/2022/NQ-HĐND ngày 07/7/2022, Ủy ban nhân dân tỉnh Kon Tum (cũ) đã trình Hội đồng nhân dân tỉnh ban hành Nghị quyết số 28/2020/NQ-HĐND ngày 13/7/2020 (được sửa đổi, bổ sung tại Nghị quyết số 80/2021/NQ-HĐND ngày 14/12/2021). Mặc dù theo quy định tại Điều 54 Luật Ban hành văn bản quy phạm  pháp luật ngày 19/02/2025 (được sửa đổi, bổ sung tại Luật sửa đổi, bổ sung một số điều của Luật Ban hành văn bản quy phạm pháp luật ngày 25/6/2025 có hiệu lực từ ngày 01/7/2025) cho phép địa phương được tiếp tục áp dụng các Nghị quyết trên theo địa bàn trước khi sáp nhập. Tuy nhiên, giữa hai Nghị quyết có sự chênh lệch về mức thu, không tương đồng về nội dung quy định. Như vậy, từ ngày 01/7/2025, thực hiện sáp nhập 02 tỉnh Quảng Ngãi và tỉnh Kon Tum </w:t>
      </w:r>
      <w:r w:rsidR="009D7347">
        <w:t>đã</w:t>
      </w:r>
      <w:r w:rsidRPr="002D3F8D">
        <w:t xml:space="preserve"> phát sinh vướng mắc, không đồng bộ trong quá trình thực hiện, nội dung phí thẩm định đã được Hội đồng nhân dân tỉnh ban hành không có khoản chi phí cho hoạt động lấy và phân tích mẫu chất thải của đoàn kiểm tra.</w:t>
      </w:r>
    </w:p>
    <w:p w14:paraId="147F18A4" w14:textId="77777777" w:rsidR="009D7347" w:rsidRDefault="000F4095" w:rsidP="009D7347">
      <w:pPr>
        <w:spacing w:before="120"/>
        <w:ind w:firstLine="720"/>
        <w:jc w:val="both"/>
      </w:pPr>
      <w:r w:rsidRPr="002D3F8D">
        <w:t>Ngày 06/01/2025, Chính phủ ban hành Nghị định số 05/2025/NĐ-CP ngày 06/01/2025 của Chính phủ Sửa đổi, bổ sung một số điều của Nghị định số 08/2022/NĐ-CP ngày 10/01/2022 của Chính phủ quy định chi tiết một số điều của Luật Bảo vệ môi trường; theo đó tại khoản 11 Điều 1 quy định:</w:t>
      </w:r>
    </w:p>
    <w:p w14:paraId="5BC38130" w14:textId="4D876885" w:rsidR="009D7347" w:rsidRPr="009D7347" w:rsidRDefault="009D7347" w:rsidP="009D7347">
      <w:pPr>
        <w:ind w:firstLine="720"/>
        <w:jc w:val="both"/>
        <w:rPr>
          <w:i/>
          <w:iCs/>
        </w:rPr>
      </w:pPr>
      <w:r w:rsidRPr="009D7347">
        <w:rPr>
          <w:i/>
          <w:iCs/>
        </w:rPr>
        <w:t>- 4 … “c) Trừ trường hợp quy định tại khoản 9 Điều này, việc thẩm định cấp giấy phép môi trường được thực hiện như sau:</w:t>
      </w:r>
    </w:p>
    <w:p w14:paraId="763FE6A0" w14:textId="77777777" w:rsidR="009D7347" w:rsidRPr="009D7347" w:rsidRDefault="009D7347" w:rsidP="009D7347">
      <w:pPr>
        <w:spacing w:before="120"/>
        <w:ind w:firstLine="720"/>
        <w:jc w:val="both"/>
        <w:rPr>
          <w:i/>
          <w:iCs/>
        </w:rPr>
      </w:pPr>
      <w:r w:rsidRPr="009D7347">
        <w:rPr>
          <w:i/>
          <w:iCs/>
        </w:rPr>
        <w:t>Đối với trường hợp dự án đầu tư đã có quyết định phê duyệt kết quả thẩm định báo cáo đánh giá tác động môi trường và không có thay đổi so với quyết định phê duyệt kết quả thẩm định báo cáo đánh giá tác động môi trường hoặc có thay đổi nhưng không thuộc trường hợp quy định tại </w:t>
      </w:r>
      <w:bookmarkStart w:id="0" w:name="dc_30"/>
      <w:r w:rsidRPr="009D7347">
        <w:rPr>
          <w:i/>
          <w:iCs/>
        </w:rPr>
        <w:t>điểm b khoản 4 Điều 37 Luật Bảo vệ môi trường</w:t>
      </w:r>
      <w:bookmarkEnd w:id="0"/>
      <w:r w:rsidRPr="009D7347">
        <w:rPr>
          <w:i/>
          <w:iCs/>
        </w:rPr>
        <w:t> và chưa đến mức phải lập báo cáo đánh giá tác động môi trường, cơ quan có thẩm quyền cấp giấy phép môi trường thành lập hội đồng thẩm định, không tổ chức kiểm tra thực tế.</w:t>
      </w:r>
    </w:p>
    <w:p w14:paraId="0C7F8BC7" w14:textId="77777777" w:rsidR="009D7347" w:rsidRPr="009D7347" w:rsidRDefault="009D7347" w:rsidP="009D7347">
      <w:pPr>
        <w:spacing w:before="120"/>
        <w:ind w:firstLine="720"/>
        <w:jc w:val="both"/>
        <w:rPr>
          <w:i/>
          <w:iCs/>
        </w:rPr>
      </w:pPr>
      <w:r w:rsidRPr="009D7347">
        <w:rPr>
          <w:i/>
          <w:iCs/>
        </w:rPr>
        <w:t>Đối với trường hợp dự án đầu tư không thuộc đối tượng phải thực hiện đánh giá tác động môi trường, cơ quan có thẩm quyền cấp giấy phép môi trường thành lập hội đồng thẩm định. Trong trường hợp cần thiết, hội đồng thẩm định tổ chức khảo sát thực tế tại khu vực dự kiến triển khai dự án đầu tư. Tùy theo quy mô, tính chất, mức độ của dự án việc tổ chức khảo sát thực tế do chủ tịch hội đồng thẩm định quyết định cử đại diện thành phần hội đồng thực hiện.</w:t>
      </w:r>
    </w:p>
    <w:p w14:paraId="14220A51" w14:textId="1EAC8EC7" w:rsidR="009D7347" w:rsidRPr="009D7347" w:rsidRDefault="009D7347" w:rsidP="009D7347">
      <w:pPr>
        <w:spacing w:before="120"/>
        <w:ind w:firstLine="720"/>
        <w:jc w:val="both"/>
        <w:rPr>
          <w:i/>
          <w:iCs/>
        </w:rPr>
      </w:pPr>
      <w:r w:rsidRPr="009D7347">
        <w:rPr>
          <w:i/>
          <w:iCs/>
        </w:rPr>
        <w:t>Đối với trường hợp cơ sở, dự án đầu tư đã có quyết định phê duyệt kết quả thẩm định báo cáo đánh giá tác động môi trường nhưng có thay đổi so với quyết định phê duyệt kết quả thẩm định báo cáo đánh giá tác động môi trường theo quy định tại </w:t>
      </w:r>
      <w:bookmarkStart w:id="1" w:name="dc_31"/>
      <w:r w:rsidRPr="009D7347">
        <w:rPr>
          <w:i/>
          <w:iCs/>
        </w:rPr>
        <w:t>điểm b khoản 4 Điều 37 Luật Bảo vệ môi trường</w:t>
      </w:r>
      <w:bookmarkEnd w:id="1"/>
      <w:r w:rsidRPr="009D7347">
        <w:rPr>
          <w:i/>
          <w:iCs/>
        </w:rPr>
        <w:t> và chưa đến mức phải lập báo cáo đánh giá tác động môi trường, cơ quan có thẩm quyền cấp giấy phép môi trường thành lập đoàn kiểm tra”.</w:t>
      </w:r>
    </w:p>
    <w:p w14:paraId="3768BBE0" w14:textId="78F281AA" w:rsidR="009D7347" w:rsidRDefault="009D7347" w:rsidP="009D7347">
      <w:pPr>
        <w:spacing w:before="120"/>
        <w:ind w:firstLine="720"/>
        <w:jc w:val="both"/>
      </w:pPr>
    </w:p>
    <w:p w14:paraId="2BF6A094" w14:textId="7B564382" w:rsidR="00EF4BFB" w:rsidRPr="009D7347" w:rsidRDefault="009D7347" w:rsidP="009D7347">
      <w:pPr>
        <w:spacing w:before="120"/>
        <w:ind w:firstLine="720"/>
        <w:jc w:val="both"/>
        <w:rPr>
          <w:i/>
          <w:iCs/>
        </w:rPr>
      </w:pPr>
      <w:r w:rsidRPr="009D7347">
        <w:rPr>
          <w:i/>
          <w:iCs/>
        </w:rPr>
        <w:t>-</w:t>
      </w:r>
      <w:r w:rsidR="000F4095" w:rsidRPr="009D7347">
        <w:rPr>
          <w:i/>
          <w:iCs/>
        </w:rPr>
        <w:t xml:space="preserve"> “</w:t>
      </w:r>
      <w:r w:rsidRPr="009D7347">
        <w:rPr>
          <w:i/>
          <w:iCs/>
        </w:rPr>
        <w:t xml:space="preserve">7. </w:t>
      </w:r>
      <w:r w:rsidR="000F4095" w:rsidRPr="009D7347">
        <w:rPr>
          <w:i/>
          <w:iCs/>
        </w:rPr>
        <w:t>Trong quá trình kiểm tra cấp giấy phép môi trường đối với cơ sở, đoàn kiểm tra thực hiện quan trắc chất thải sau xử lý trước khi xả thải ra môi trường đối với cơ sở có tiêu chí về môi trường như dự án đầu tư nhóm I, nhóm II và cơ sở có tiêu chí về môi trường như dự án đầu tư có số thứ tự 1 Mục I Phụ lục V ban hành kèm theo Nghị định này. Việc quan trắc chất thải của đoàn kiểm tra thực hiện tối thiểu 01 lần (lấy mẫu đơn). Trường hợp cơ sở có nhiều công trình xử lý bụi, khí thải tương đồng về thông số ô nhiễm đặc trưng được xử lý, công nghệ, thiết bị xử lý thì đoàn kiểm tra lựa chọn 01 công trình có công suất xử lý lớn nhất để quan trắc, đánh giá hiệu quả xử lý cho các công trình xử lý bụi, khí thải tương đồng này. Chi phí cho hoạt động lấy và phân tích mẫu chất thải của đoàn kiểm tra được lấy từ nguồn phí thẩm định cấp giấy phép môi trường theo quy định của pháp luật về phí và lệ phí”.</w:t>
      </w:r>
    </w:p>
    <w:p w14:paraId="1A0C0706" w14:textId="2727C20F" w:rsidR="00884921" w:rsidRPr="002D3F8D" w:rsidRDefault="00EF4BFB" w:rsidP="009E1625">
      <w:pPr>
        <w:pStyle w:val="NormalWeb"/>
        <w:spacing w:before="120" w:beforeAutospacing="0" w:after="0" w:afterAutospacing="0"/>
        <w:ind w:firstLine="720"/>
        <w:jc w:val="both"/>
        <w:textAlignment w:val="baseline"/>
        <w:rPr>
          <w:sz w:val="28"/>
          <w:szCs w:val="28"/>
        </w:rPr>
      </w:pPr>
      <w:r w:rsidRPr="002D3F8D">
        <w:rPr>
          <w:sz w:val="28"/>
          <w:szCs w:val="28"/>
        </w:rPr>
        <w:t>Từ thực tế nêu trên</w:t>
      </w:r>
      <w:r w:rsidR="00790ECB" w:rsidRPr="002D3F8D">
        <w:rPr>
          <w:sz w:val="28"/>
          <w:szCs w:val="28"/>
        </w:rPr>
        <w:t>,</w:t>
      </w:r>
      <w:r w:rsidR="00460632" w:rsidRPr="002D3F8D">
        <w:rPr>
          <w:sz w:val="28"/>
          <w:szCs w:val="28"/>
        </w:rPr>
        <w:t xml:space="preserve"> trên cơ sở đề xuất của</w:t>
      </w:r>
      <w:r w:rsidR="00790ECB" w:rsidRPr="002D3F8D">
        <w:rPr>
          <w:sz w:val="28"/>
          <w:szCs w:val="28"/>
          <w:lang w:val="af-ZA" w:eastAsia="x-none"/>
        </w:rPr>
        <w:t xml:space="preserve"> Sở Nông nghiệp và Môi trường</w:t>
      </w:r>
      <w:r w:rsidR="00460632" w:rsidRPr="002D3F8D">
        <w:rPr>
          <w:sz w:val="28"/>
          <w:szCs w:val="28"/>
          <w:lang w:val="af-ZA" w:eastAsia="x-none"/>
        </w:rPr>
        <w:t>,</w:t>
      </w:r>
      <w:r w:rsidR="00790ECB" w:rsidRPr="002D3F8D">
        <w:rPr>
          <w:sz w:val="28"/>
          <w:szCs w:val="28"/>
          <w:lang w:val="af-ZA" w:eastAsia="x-none"/>
        </w:rPr>
        <w:t xml:space="preserve"> </w:t>
      </w:r>
      <w:r w:rsidR="00460632" w:rsidRPr="002D3F8D">
        <w:rPr>
          <w:sz w:val="28"/>
          <w:szCs w:val="28"/>
          <w:lang w:val="af-ZA" w:eastAsia="x-none"/>
        </w:rPr>
        <w:t xml:space="preserve">việc ban hành </w:t>
      </w:r>
      <w:r w:rsidR="00460632" w:rsidRPr="00E90B68">
        <w:rPr>
          <w:sz w:val="28"/>
          <w:szCs w:val="28"/>
          <w:lang w:val="af-ZA" w:eastAsia="x-none"/>
        </w:rPr>
        <w:t>mới</w:t>
      </w:r>
      <w:r w:rsidR="00460632" w:rsidRPr="002D3F8D">
        <w:rPr>
          <w:sz w:val="28"/>
          <w:szCs w:val="28"/>
          <w:lang w:val="af-ZA" w:eastAsia="x-none"/>
        </w:rPr>
        <w:t xml:space="preserve"> </w:t>
      </w:r>
      <w:r w:rsidR="00790ECB" w:rsidRPr="002D3F8D">
        <w:rPr>
          <w:sz w:val="28"/>
          <w:szCs w:val="28"/>
          <w:lang w:val="af-ZA" w:eastAsia="x-none"/>
        </w:rPr>
        <w:t>mức thu phí</w:t>
      </w:r>
      <w:r w:rsidR="00790ECB" w:rsidRPr="002D3F8D">
        <w:rPr>
          <w:sz w:val="28"/>
          <w:szCs w:val="28"/>
        </w:rPr>
        <w:t xml:space="preserve"> thẩm định</w:t>
      </w:r>
      <w:r w:rsidR="00460632" w:rsidRPr="002D3F8D">
        <w:rPr>
          <w:sz w:val="28"/>
          <w:szCs w:val="28"/>
        </w:rPr>
        <w:t xml:space="preserve"> </w:t>
      </w:r>
      <w:r w:rsidR="000F4095" w:rsidRPr="002D3F8D">
        <w:rPr>
          <w:sz w:val="28"/>
          <w:szCs w:val="28"/>
        </w:rPr>
        <w:t>quy định mức thu, chế độ thu, nộp, quản lý và sử dụng phí thẩm định báo cáo đánh giá tác động môi trường; phí thẩm định phương án cải tạo, phục hồi môi trường; phí thẩm định cấp, cấp lại giấy phép môi trường trên địa bàn tỉnh Quảng Ngãi</w:t>
      </w:r>
      <w:r w:rsidR="00884921" w:rsidRPr="002D3F8D">
        <w:rPr>
          <w:sz w:val="28"/>
          <w:szCs w:val="28"/>
        </w:rPr>
        <w:t>.</w:t>
      </w:r>
    </w:p>
    <w:p w14:paraId="6BC6BD61" w14:textId="76219926" w:rsidR="00D71DCE" w:rsidRPr="002D3F8D" w:rsidRDefault="00D71DCE" w:rsidP="009E1625">
      <w:pPr>
        <w:pStyle w:val="NormalWeb"/>
        <w:spacing w:before="120" w:beforeAutospacing="0" w:after="0" w:afterAutospacing="0"/>
        <w:ind w:firstLine="720"/>
        <w:jc w:val="both"/>
        <w:textAlignment w:val="baseline"/>
        <w:rPr>
          <w:b/>
          <w:bCs/>
          <w:sz w:val="28"/>
          <w:szCs w:val="28"/>
          <w:highlight w:val="white"/>
        </w:rPr>
      </w:pPr>
      <w:r w:rsidRPr="002D3F8D">
        <w:rPr>
          <w:b/>
          <w:bCs/>
          <w:sz w:val="28"/>
          <w:szCs w:val="28"/>
          <w:highlight w:val="white"/>
        </w:rPr>
        <w:t>II. MỤC ĐÍCH, QUAN ĐIỂM XÂY DỰNG NGHỊ QUYẾT</w:t>
      </w:r>
    </w:p>
    <w:p w14:paraId="35C4F8F5" w14:textId="77777777" w:rsidR="00CF770A" w:rsidRPr="002D3F8D" w:rsidRDefault="00A74542" w:rsidP="009E1625">
      <w:pPr>
        <w:pStyle w:val="NormalWeb"/>
        <w:spacing w:before="120" w:beforeAutospacing="0" w:after="0" w:afterAutospacing="0"/>
        <w:ind w:firstLine="720"/>
        <w:jc w:val="both"/>
        <w:textAlignment w:val="baseline"/>
        <w:rPr>
          <w:b/>
          <w:bCs/>
          <w:sz w:val="28"/>
          <w:szCs w:val="28"/>
          <w:highlight w:val="white"/>
        </w:rPr>
      </w:pPr>
      <w:r w:rsidRPr="002D3F8D">
        <w:rPr>
          <w:b/>
          <w:bCs/>
          <w:sz w:val="28"/>
          <w:szCs w:val="28"/>
          <w:highlight w:val="white"/>
        </w:rPr>
        <w:t xml:space="preserve">1. </w:t>
      </w:r>
      <w:r w:rsidRPr="002D3F8D">
        <w:rPr>
          <w:b/>
          <w:bCs/>
          <w:sz w:val="28"/>
          <w:szCs w:val="28"/>
          <w:highlight w:val="white"/>
          <w:lang w:val="vi-VN"/>
        </w:rPr>
        <w:t>Mục đích:</w:t>
      </w:r>
      <w:r w:rsidR="00CF770A" w:rsidRPr="002D3F8D">
        <w:rPr>
          <w:b/>
          <w:bCs/>
          <w:sz w:val="28"/>
          <w:szCs w:val="28"/>
          <w:highlight w:val="white"/>
        </w:rPr>
        <w:t xml:space="preserve"> </w:t>
      </w:r>
    </w:p>
    <w:p w14:paraId="01FD4A02" w14:textId="4CCDCCEF" w:rsidR="00A74542" w:rsidRPr="002D3F8D" w:rsidRDefault="00CF770A" w:rsidP="009E1625">
      <w:pPr>
        <w:pStyle w:val="NormalWeb"/>
        <w:spacing w:before="120" w:beforeAutospacing="0" w:after="0" w:afterAutospacing="0"/>
        <w:ind w:firstLine="720"/>
        <w:jc w:val="both"/>
        <w:textAlignment w:val="baseline"/>
        <w:rPr>
          <w:b/>
          <w:bCs/>
          <w:sz w:val="28"/>
          <w:szCs w:val="28"/>
          <w:highlight w:val="white"/>
        </w:rPr>
      </w:pPr>
      <w:r w:rsidRPr="002D3F8D">
        <w:rPr>
          <w:sz w:val="28"/>
          <w:szCs w:val="28"/>
          <w:highlight w:val="white"/>
        </w:rPr>
        <w:t xml:space="preserve">Nhằm đảm bảo thống nhất </w:t>
      </w:r>
      <w:r w:rsidRPr="002D3F8D">
        <w:rPr>
          <w:sz w:val="28"/>
          <w:szCs w:val="28"/>
          <w:lang w:val="af-ZA" w:eastAsia="x-none"/>
        </w:rPr>
        <w:t>mức thu phí</w:t>
      </w:r>
      <w:r w:rsidRPr="002D3F8D">
        <w:rPr>
          <w:sz w:val="28"/>
          <w:szCs w:val="28"/>
        </w:rPr>
        <w:t xml:space="preserve"> thẩm định quy định mức thu, chế độ thu, nộp, quản lý và sử dụng phí thẩm định </w:t>
      </w:r>
      <w:r w:rsidR="000F4095" w:rsidRPr="002D3F8D">
        <w:rPr>
          <w:sz w:val="28"/>
          <w:szCs w:val="28"/>
        </w:rPr>
        <w:t>báo cáo đánh giá tác động môi trường; phí thẩm định phương án cải tạo, phục hồi môi trường; phí thẩm định cấp, cấp lại</w:t>
      </w:r>
      <w:r w:rsidR="00EB1DDA" w:rsidRPr="002D3F8D">
        <w:rPr>
          <w:sz w:val="28"/>
          <w:szCs w:val="28"/>
        </w:rPr>
        <w:t xml:space="preserve"> </w:t>
      </w:r>
      <w:r w:rsidR="000F4095" w:rsidRPr="002D3F8D">
        <w:rPr>
          <w:sz w:val="28"/>
          <w:szCs w:val="28"/>
        </w:rPr>
        <w:t xml:space="preserve">giấy phép môi trường </w:t>
      </w:r>
      <w:r w:rsidRPr="002D3F8D">
        <w:rPr>
          <w:sz w:val="28"/>
          <w:szCs w:val="28"/>
        </w:rPr>
        <w:t>trên địa bàn tỉnh Quảng Ngãi sau khi sắp xếp hợp nhất giữa hai tỉnh.</w:t>
      </w:r>
    </w:p>
    <w:p w14:paraId="02F7F041" w14:textId="77777777" w:rsidR="00CF770A" w:rsidRPr="002D3F8D" w:rsidRDefault="00A74542" w:rsidP="009E1625">
      <w:pPr>
        <w:pStyle w:val="NormalWeb"/>
        <w:spacing w:before="120" w:beforeAutospacing="0" w:after="0" w:afterAutospacing="0"/>
        <w:ind w:firstLine="720"/>
        <w:jc w:val="both"/>
        <w:textAlignment w:val="baseline"/>
        <w:rPr>
          <w:bCs/>
          <w:lang w:val="vi-VN"/>
        </w:rPr>
      </w:pPr>
      <w:r w:rsidRPr="002D3F8D">
        <w:rPr>
          <w:b/>
          <w:bCs/>
          <w:sz w:val="28"/>
          <w:szCs w:val="28"/>
          <w:highlight w:val="white"/>
        </w:rPr>
        <w:t xml:space="preserve">2. </w:t>
      </w:r>
      <w:r w:rsidRPr="002D3F8D">
        <w:rPr>
          <w:b/>
          <w:bCs/>
          <w:sz w:val="28"/>
          <w:szCs w:val="28"/>
          <w:highlight w:val="white"/>
          <w:lang w:val="vi-VN"/>
        </w:rPr>
        <w:t>Quan điểm:</w:t>
      </w:r>
      <w:r w:rsidR="00CF770A" w:rsidRPr="002D3F8D">
        <w:rPr>
          <w:bCs/>
          <w:lang w:val="vi-VN"/>
        </w:rPr>
        <w:t xml:space="preserve"> </w:t>
      </w:r>
    </w:p>
    <w:p w14:paraId="2EAB8173" w14:textId="4D6BFE5A" w:rsidR="00A74542" w:rsidRPr="002D3F8D" w:rsidRDefault="00CF770A" w:rsidP="009E1625">
      <w:pPr>
        <w:pStyle w:val="NormalWeb"/>
        <w:spacing w:before="120" w:beforeAutospacing="0" w:after="0" w:afterAutospacing="0"/>
        <w:ind w:firstLine="720"/>
        <w:jc w:val="both"/>
        <w:textAlignment w:val="baseline"/>
        <w:rPr>
          <w:sz w:val="28"/>
          <w:szCs w:val="28"/>
          <w:lang w:val="sv-SE"/>
        </w:rPr>
      </w:pPr>
      <w:r w:rsidRPr="002D3F8D">
        <w:rPr>
          <w:bCs/>
          <w:sz w:val="28"/>
          <w:szCs w:val="28"/>
          <w:lang w:val="vi-VN"/>
        </w:rPr>
        <w:t xml:space="preserve">Đảm bảo đúng quy định của </w:t>
      </w:r>
      <w:r w:rsidR="00535269" w:rsidRPr="002D3F8D">
        <w:rPr>
          <w:bCs/>
          <w:iCs/>
          <w:spacing w:val="6"/>
          <w:sz w:val="28"/>
          <w:szCs w:val="28"/>
          <w:lang w:val="sv-SE"/>
        </w:rPr>
        <w:t xml:space="preserve">Luật Ban hành văn bản quy phạm pháp luật ngày 19 tháng 02 năm 2025 và </w:t>
      </w:r>
      <w:r w:rsidR="00535269" w:rsidRPr="002D3F8D">
        <w:rPr>
          <w:spacing w:val="6"/>
          <w:sz w:val="28"/>
          <w:szCs w:val="28"/>
        </w:rPr>
        <w:t>Luật sửa đổi, bổ sung một số điều của Luật Ban hành văn bản quy phạm pháp luật ngày 25 tháng 6 năm 2025</w:t>
      </w:r>
      <w:r w:rsidRPr="002D3F8D">
        <w:rPr>
          <w:bCs/>
          <w:sz w:val="28"/>
          <w:szCs w:val="28"/>
          <w:lang w:val="vi-VN"/>
        </w:rPr>
        <w:t>; Luật Phí và lệ phí số 97/2015/QH13 ngày 25 tháng 11 năm 2015; Thông tư số 85/2019/TT-BTC ngày 29 tháng 11 năm 2019 của Bộ trưởng Bộ Tài chính về hướng dẫn phí và lệ phí thuộc thẩm quyền quyết định của Hội đồng nhân dân tỉnh, thành phố trực thuộc Trung ương; Thông tư số 106/2021/TT-BTC ngày 26 tháng 11 năm 2021 của Bộ Tài chính sửa đổi, bổ sung một số điều của Thông tư số 85/2019/TT-BTC; các văn bản khác có liên quan và phù hợp với điều kiện thực tiễn của địa phương</w:t>
      </w:r>
      <w:r w:rsidRPr="002D3F8D">
        <w:rPr>
          <w:sz w:val="28"/>
          <w:szCs w:val="28"/>
          <w:highlight w:val="white"/>
          <w:lang w:val="sv-SE"/>
        </w:rPr>
        <w:t>.</w:t>
      </w:r>
    </w:p>
    <w:p w14:paraId="01B7BD4B" w14:textId="77777777" w:rsidR="00400AB2" w:rsidRPr="002D3F8D" w:rsidRDefault="00400AB2" w:rsidP="009E1625">
      <w:pPr>
        <w:pStyle w:val="nidungVB"/>
        <w:spacing w:before="120" w:after="0" w:line="240" w:lineRule="auto"/>
        <w:ind w:firstLine="720"/>
        <w:rPr>
          <w:b/>
          <w:bCs/>
          <w:highlight w:val="white"/>
        </w:rPr>
      </w:pPr>
      <w:r w:rsidRPr="002D3F8D">
        <w:rPr>
          <w:b/>
          <w:bCs/>
          <w:highlight w:val="white"/>
        </w:rPr>
        <w:t>III. QUÁ TRÌNH XÂY DỰNG NGHỊ QUYẾT</w:t>
      </w:r>
    </w:p>
    <w:p w14:paraId="70622F26" w14:textId="06BB372B" w:rsidR="00400AB2" w:rsidRPr="002D3F8D" w:rsidRDefault="00D20932" w:rsidP="009E1625">
      <w:pPr>
        <w:pStyle w:val="NormalWeb"/>
        <w:spacing w:before="120" w:beforeAutospacing="0" w:after="0" w:afterAutospacing="0"/>
        <w:ind w:firstLine="720"/>
        <w:jc w:val="both"/>
        <w:textAlignment w:val="baseline"/>
        <w:rPr>
          <w:sz w:val="28"/>
          <w:szCs w:val="28"/>
        </w:rPr>
      </w:pPr>
      <w:r w:rsidRPr="002D3F8D">
        <w:rPr>
          <w:sz w:val="28"/>
          <w:szCs w:val="28"/>
        </w:rPr>
        <w:t xml:space="preserve">Thực hiện Công văn bản số </w:t>
      </w:r>
      <w:r w:rsidR="00463ADC" w:rsidRPr="002D3F8D">
        <w:rPr>
          <w:sz w:val="28"/>
          <w:szCs w:val="28"/>
        </w:rPr>
        <w:t xml:space="preserve">29/HĐND-KTNS ngày 30/7/2025 </w:t>
      </w:r>
      <w:r w:rsidRPr="002D3F8D">
        <w:rPr>
          <w:sz w:val="28"/>
          <w:szCs w:val="28"/>
        </w:rPr>
        <w:t xml:space="preserve">của Thường trực Hội đồng nhân dân tỉnh </w:t>
      </w:r>
      <w:r w:rsidR="00463ADC" w:rsidRPr="002D3F8D">
        <w:rPr>
          <w:sz w:val="28"/>
          <w:szCs w:val="28"/>
        </w:rPr>
        <w:t>của Thường trực Hội đồng nhân dân tỉnh về việc xây dựng quy định mức thu, chế độ thu, nộp, quản lý và sử dụng một số khoản phí liên quan đế</w:t>
      </w:r>
      <w:r w:rsidR="00D22A76">
        <w:rPr>
          <w:sz w:val="28"/>
          <w:szCs w:val="28"/>
        </w:rPr>
        <w:t>n công tác thẩm định môi trường</w:t>
      </w:r>
      <w:bookmarkStart w:id="2" w:name="_GoBack"/>
      <w:bookmarkEnd w:id="2"/>
      <w:r w:rsidR="00485281" w:rsidRPr="002D3F8D">
        <w:rPr>
          <w:sz w:val="28"/>
          <w:szCs w:val="28"/>
        </w:rPr>
        <w:t>. Ủy ban nhân dân tỉnh đã giao</w:t>
      </w:r>
      <w:r w:rsidR="007A6748" w:rsidRPr="002D3F8D">
        <w:rPr>
          <w:sz w:val="28"/>
          <w:szCs w:val="28"/>
        </w:rPr>
        <w:t xml:space="preserve"> Sở Nông nghiệp và Môi trường </w:t>
      </w:r>
      <w:r w:rsidR="0089457E" w:rsidRPr="002D3F8D">
        <w:rPr>
          <w:sz w:val="28"/>
          <w:szCs w:val="28"/>
        </w:rPr>
        <w:t xml:space="preserve">chủ trì, xây dựng dự thảo Nghị quyết </w:t>
      </w:r>
      <w:r w:rsidR="00463ADC" w:rsidRPr="002D3F8D">
        <w:rPr>
          <w:sz w:val="28"/>
          <w:szCs w:val="28"/>
        </w:rPr>
        <w:t xml:space="preserve">quy định mức thu, chế độ thu, nộp, quản lý và sử dụng phí thẩm định báo cáo đánh giá tác động </w:t>
      </w:r>
      <w:r w:rsidR="00463ADC" w:rsidRPr="002D3F8D">
        <w:rPr>
          <w:sz w:val="28"/>
          <w:szCs w:val="28"/>
        </w:rPr>
        <w:lastRenderedPageBreak/>
        <w:t>môi trường; phí thẩm định phương án cải tạo, phục hồi môi trường; phí thẩm định cấp, cấp lại giấy phép môi trường trên địa bàn tỉnh Quảng Ngãi</w:t>
      </w:r>
      <w:r w:rsidR="0089457E" w:rsidRPr="002D3F8D">
        <w:rPr>
          <w:sz w:val="28"/>
          <w:szCs w:val="28"/>
        </w:rPr>
        <w:t>.</w:t>
      </w:r>
    </w:p>
    <w:p w14:paraId="35BF5830" w14:textId="0C4E2E18" w:rsidR="004442BB" w:rsidRPr="002D3F8D" w:rsidRDefault="004442BB" w:rsidP="009E1625">
      <w:pPr>
        <w:pStyle w:val="nidungVB"/>
        <w:spacing w:before="120" w:after="0" w:line="240" w:lineRule="auto"/>
        <w:ind w:firstLine="720"/>
        <w:rPr>
          <w:highlight w:val="white"/>
        </w:rPr>
      </w:pPr>
      <w:r w:rsidRPr="002D3F8D">
        <w:rPr>
          <w:highlight w:val="white"/>
        </w:rPr>
        <w:t>Tổ chức lấy ý kiến tham gia củ</w:t>
      </w:r>
      <w:r w:rsidR="00D54C4B" w:rsidRPr="002D3F8D">
        <w:rPr>
          <w:highlight w:val="white"/>
        </w:rPr>
        <w:t>a các sở, ban, ngành tỉnh</w:t>
      </w:r>
      <w:r w:rsidR="00E44551" w:rsidRPr="002D3F8D">
        <w:rPr>
          <w:highlight w:val="white"/>
        </w:rPr>
        <w:t>;</w:t>
      </w:r>
      <w:r w:rsidRPr="002D3F8D">
        <w:rPr>
          <w:highlight w:val="white"/>
        </w:rPr>
        <w:t xml:space="preserve"> Ủy ban nhân dân các xã, phường và Đặc khu Lý Sơn và đăng tải nội dung dự thảo Nghị quyết trên Cổng thông tin điện tử của tỉnh để lấy ý kiến tham gia của các đối tượng liên quan; đồng thời đã lấy ý kiến thẩm định của Sở</w:t>
      </w:r>
      <w:r w:rsidR="003B2FB6" w:rsidRPr="002D3F8D">
        <w:rPr>
          <w:highlight w:val="white"/>
        </w:rPr>
        <w:t xml:space="preserve"> Tư pháp</w:t>
      </w:r>
      <w:r w:rsidR="003B2FB6" w:rsidRPr="002D3F8D">
        <w:t xml:space="preserve">, ý kiến thành viên Ủy ban nhân dân tỉnh </w:t>
      </w:r>
      <w:r w:rsidR="003B2FB6" w:rsidRPr="002D3F8D">
        <w:rPr>
          <w:highlight w:val="white"/>
        </w:rPr>
        <w:t>để làm cơ sở trình Hội đồng nhân dân tỉnh</w:t>
      </w:r>
      <w:r w:rsidRPr="002D3F8D">
        <w:rPr>
          <w:highlight w:val="white"/>
        </w:rPr>
        <w:t xml:space="preserve">. Việc xây dựng dự thảo Nghị quyết được thực hiện đảm bảo trình tự, thủ tục theo quy định tại </w:t>
      </w:r>
      <w:r w:rsidR="00896A18" w:rsidRPr="002D3F8D">
        <w:rPr>
          <w:bCs/>
          <w:iCs/>
          <w:spacing w:val="6"/>
          <w:lang w:val="sv-SE"/>
        </w:rPr>
        <w:t xml:space="preserve">Luật Ban hành văn bản quy phạm pháp luật ngày 19 tháng 02 năm 2025 và </w:t>
      </w:r>
      <w:r w:rsidR="00896A18" w:rsidRPr="002D3F8D">
        <w:rPr>
          <w:spacing w:val="6"/>
        </w:rPr>
        <w:t>Luật sửa đổi, bổ sung một số điều của Luật Ban hành văn bản quy phạm pháp luật ngày 25 tháng 6 năm 2025</w:t>
      </w:r>
      <w:r w:rsidR="00896A18" w:rsidRPr="002D3F8D">
        <w:rPr>
          <w:highlight w:val="white"/>
        </w:rPr>
        <w:t xml:space="preserve"> </w:t>
      </w:r>
      <w:r w:rsidRPr="002D3F8D">
        <w:rPr>
          <w:highlight w:val="white"/>
        </w:rPr>
        <w:t>và các văn bản pháp luật liên quan.</w:t>
      </w:r>
    </w:p>
    <w:p w14:paraId="469BA9CA" w14:textId="77777777" w:rsidR="001636E5" w:rsidRPr="002D3F8D" w:rsidRDefault="001636E5" w:rsidP="009E1625">
      <w:pPr>
        <w:pStyle w:val="nidungVB"/>
        <w:spacing w:before="120" w:after="0" w:line="240" w:lineRule="auto"/>
        <w:ind w:firstLine="720"/>
        <w:rPr>
          <w:b/>
          <w:highlight w:val="white"/>
        </w:rPr>
      </w:pPr>
      <w:r w:rsidRPr="002D3F8D">
        <w:rPr>
          <w:b/>
          <w:highlight w:val="white"/>
        </w:rPr>
        <w:t xml:space="preserve">IV. BỐ CỤC VÀ NỘI DUNG CƠ BẢN CỦA NGHỊ QUYẾT: </w:t>
      </w:r>
    </w:p>
    <w:p w14:paraId="03C2D610" w14:textId="03863033" w:rsidR="00874079" w:rsidRPr="002D3F8D" w:rsidRDefault="0009154C" w:rsidP="009E1625">
      <w:pPr>
        <w:pStyle w:val="nidungVB"/>
        <w:spacing w:before="120" w:after="0" w:line="240" w:lineRule="auto"/>
        <w:ind w:firstLine="720"/>
        <w:rPr>
          <w:highlight w:val="white"/>
        </w:rPr>
      </w:pPr>
      <w:r w:rsidRPr="002D3F8D">
        <w:t>Ngoài phần căn cứ</w:t>
      </w:r>
      <w:r w:rsidRPr="002D3F8D">
        <w:rPr>
          <w:highlight w:val="white"/>
        </w:rPr>
        <w:t>, Nghị quyết</w:t>
      </w:r>
      <w:r w:rsidRPr="002D3F8D">
        <w:rPr>
          <w:b/>
          <w:highlight w:val="white"/>
        </w:rPr>
        <w:t xml:space="preserve"> </w:t>
      </w:r>
      <w:r w:rsidRPr="002D3F8D">
        <w:rPr>
          <w:highlight w:val="white"/>
        </w:rPr>
        <w:t>gồm có 0</w:t>
      </w:r>
      <w:r w:rsidR="00211F66" w:rsidRPr="002D3F8D">
        <w:rPr>
          <w:highlight w:val="white"/>
        </w:rPr>
        <w:t>5</w:t>
      </w:r>
      <w:r w:rsidRPr="002D3F8D">
        <w:rPr>
          <w:highlight w:val="white"/>
        </w:rPr>
        <w:t xml:space="preserve"> Điều</w:t>
      </w:r>
      <w:r w:rsidR="00EA476E" w:rsidRPr="002D3F8D">
        <w:rPr>
          <w:highlight w:val="white"/>
        </w:rPr>
        <w:t>, cụ thể như sau:</w:t>
      </w:r>
    </w:p>
    <w:p w14:paraId="77277DE7" w14:textId="2E2B505F" w:rsidR="00FC63FD" w:rsidRPr="002D3F8D" w:rsidRDefault="00FC63FD" w:rsidP="009E1625">
      <w:pPr>
        <w:pStyle w:val="nidungVB"/>
        <w:spacing w:before="120" w:after="0" w:line="240" w:lineRule="auto"/>
        <w:ind w:firstLine="720"/>
        <w:rPr>
          <w:highlight w:val="white"/>
        </w:rPr>
      </w:pPr>
      <w:r w:rsidRPr="002D3F8D">
        <w:rPr>
          <w:b/>
          <w:bCs/>
          <w:highlight w:val="white"/>
        </w:rPr>
        <w:t>Điều 1.</w:t>
      </w:r>
      <w:r w:rsidRPr="002D3F8D">
        <w:rPr>
          <w:highlight w:val="white"/>
        </w:rPr>
        <w:t xml:space="preserve"> Phạm vi điều chỉnh, đối tượng áp dụng.</w:t>
      </w:r>
    </w:p>
    <w:p w14:paraId="4EB70DA0" w14:textId="1D6F312C" w:rsidR="00FC63FD" w:rsidRPr="002D3F8D" w:rsidRDefault="00FC63FD" w:rsidP="00D474E9">
      <w:pPr>
        <w:spacing w:before="120" w:after="120"/>
        <w:ind w:firstLine="709"/>
        <w:jc w:val="both"/>
        <w:rPr>
          <w:highlight w:val="white"/>
        </w:rPr>
      </w:pPr>
      <w:r w:rsidRPr="002D3F8D">
        <w:rPr>
          <w:b/>
          <w:bCs/>
          <w:highlight w:val="white"/>
        </w:rPr>
        <w:t>Điều 2.</w:t>
      </w:r>
      <w:r w:rsidRPr="002D3F8D">
        <w:rPr>
          <w:highlight w:val="white"/>
        </w:rPr>
        <w:t xml:space="preserve"> </w:t>
      </w:r>
      <w:r w:rsidR="00211F66" w:rsidRPr="002D3F8D">
        <w:rPr>
          <w:bCs/>
          <w:lang w:val="nl-NL"/>
        </w:rPr>
        <w:t>Mức thu phí</w:t>
      </w:r>
      <w:r w:rsidR="005B5D0B" w:rsidRPr="002D3F8D">
        <w:rPr>
          <w:bCs/>
        </w:rPr>
        <w:t>.</w:t>
      </w:r>
    </w:p>
    <w:p w14:paraId="2C246637" w14:textId="67A1672B" w:rsidR="00CA6CEF" w:rsidRPr="002D3F8D" w:rsidRDefault="005E1922" w:rsidP="009E1625">
      <w:pPr>
        <w:pStyle w:val="nidungVB"/>
        <w:spacing w:before="120" w:after="0" w:line="240" w:lineRule="auto"/>
        <w:ind w:firstLine="720"/>
        <w:rPr>
          <w:highlight w:val="white"/>
        </w:rPr>
      </w:pPr>
      <w:r w:rsidRPr="002D3F8D">
        <w:rPr>
          <w:b/>
          <w:bCs/>
          <w:highlight w:val="white"/>
        </w:rPr>
        <w:t>Điều 3.</w:t>
      </w:r>
      <w:r w:rsidRPr="002D3F8D">
        <w:rPr>
          <w:highlight w:val="white"/>
        </w:rPr>
        <w:t xml:space="preserve"> </w:t>
      </w:r>
      <w:r w:rsidR="00211F66" w:rsidRPr="002D3F8D">
        <w:rPr>
          <w:highlight w:val="white"/>
        </w:rPr>
        <w:t>Chế độ thu, nộp, quản lý và sử dụng phí</w:t>
      </w:r>
      <w:r w:rsidRPr="002D3F8D">
        <w:rPr>
          <w:highlight w:val="white"/>
        </w:rPr>
        <w:t>.</w:t>
      </w:r>
    </w:p>
    <w:p w14:paraId="74A73E13" w14:textId="77777777" w:rsidR="00211F66" w:rsidRPr="002D3F8D" w:rsidRDefault="005E1922" w:rsidP="009E1625">
      <w:pPr>
        <w:pStyle w:val="nidungVB"/>
        <w:tabs>
          <w:tab w:val="left" w:pos="4070"/>
        </w:tabs>
        <w:spacing w:before="120" w:after="0" w:line="240" w:lineRule="auto"/>
        <w:ind w:firstLine="720"/>
        <w:rPr>
          <w:highlight w:val="white"/>
        </w:rPr>
      </w:pPr>
      <w:r w:rsidRPr="002D3F8D">
        <w:rPr>
          <w:b/>
          <w:bCs/>
          <w:highlight w:val="white"/>
        </w:rPr>
        <w:t>Điều 4.</w:t>
      </w:r>
      <w:r w:rsidRPr="002D3F8D">
        <w:rPr>
          <w:highlight w:val="white"/>
        </w:rPr>
        <w:t xml:space="preserve"> </w:t>
      </w:r>
      <w:r w:rsidR="00211F66" w:rsidRPr="002D3F8D">
        <w:rPr>
          <w:rFonts w:eastAsia="Times New Roman"/>
          <w:bCs/>
          <w:lang w:val="nl-NL"/>
        </w:rPr>
        <w:t>Tổ chức thực hiện</w:t>
      </w:r>
      <w:r w:rsidR="000C562E" w:rsidRPr="002D3F8D">
        <w:rPr>
          <w:highlight w:val="white"/>
        </w:rPr>
        <w:t>.</w:t>
      </w:r>
    </w:p>
    <w:p w14:paraId="2BFFFFAF" w14:textId="7C9708B3" w:rsidR="005E1922" w:rsidRPr="002D3F8D" w:rsidRDefault="00A80968" w:rsidP="009E1625">
      <w:pPr>
        <w:pStyle w:val="nidungVB"/>
        <w:tabs>
          <w:tab w:val="left" w:pos="4070"/>
        </w:tabs>
        <w:spacing w:before="120" w:after="0" w:line="240" w:lineRule="auto"/>
        <w:ind w:firstLine="720"/>
        <w:rPr>
          <w:highlight w:val="white"/>
        </w:rPr>
      </w:pPr>
      <w:r w:rsidRPr="002D3F8D">
        <w:rPr>
          <w:b/>
          <w:bCs/>
          <w:highlight w:val="white"/>
        </w:rPr>
        <w:t>Điều 5.</w:t>
      </w:r>
      <w:r w:rsidRPr="002D3F8D">
        <w:rPr>
          <w:highlight w:val="white"/>
        </w:rPr>
        <w:t xml:space="preserve"> Điều khoản thi hành.</w:t>
      </w:r>
      <w:r w:rsidR="00623F52" w:rsidRPr="002D3F8D">
        <w:rPr>
          <w:highlight w:val="white"/>
        </w:rPr>
        <w:tab/>
      </w:r>
    </w:p>
    <w:p w14:paraId="104FF705" w14:textId="0F2F1ADA" w:rsidR="00623F52" w:rsidRPr="002D3F8D" w:rsidRDefault="00623F52" w:rsidP="009E1625">
      <w:pPr>
        <w:pStyle w:val="nidungVB"/>
        <w:spacing w:before="120" w:after="0" w:line="240" w:lineRule="auto"/>
        <w:ind w:firstLine="720"/>
        <w:rPr>
          <w:highlight w:val="white"/>
        </w:rPr>
      </w:pPr>
      <w:r w:rsidRPr="002D3F8D">
        <w:rPr>
          <w:i/>
          <w:highlight w:val="white"/>
        </w:rPr>
        <w:t xml:space="preserve">(Tài liệu gửi kèm theo: (1) Dự thảo </w:t>
      </w:r>
      <w:r w:rsidR="009F06D0">
        <w:rPr>
          <w:i/>
          <w:highlight w:val="white"/>
        </w:rPr>
        <w:t xml:space="preserve">Tờ trình; (2) </w:t>
      </w:r>
      <w:r w:rsidR="006E2748" w:rsidRPr="002D3F8D">
        <w:rPr>
          <w:i/>
          <w:highlight w:val="white"/>
        </w:rPr>
        <w:t xml:space="preserve">Dự thảo </w:t>
      </w:r>
      <w:r w:rsidRPr="002D3F8D">
        <w:rPr>
          <w:i/>
          <w:highlight w:val="white"/>
        </w:rPr>
        <w:t>Nghị quyế</w:t>
      </w:r>
      <w:r w:rsidR="006E2748">
        <w:rPr>
          <w:i/>
          <w:highlight w:val="white"/>
        </w:rPr>
        <w:t>t</w:t>
      </w:r>
      <w:r w:rsidRPr="002D3F8D">
        <w:rPr>
          <w:i/>
        </w:rPr>
        <w:t>;</w:t>
      </w:r>
      <w:r w:rsidR="009F06D0">
        <w:rPr>
          <w:i/>
        </w:rPr>
        <w:t xml:space="preserve"> (3) Bản so sánh, thuyết minh nội dung dự thảo; (4) Bản tổng hợp ý kiến, tiếp thu, giải trình ý kiến góp ý; </w:t>
      </w:r>
      <w:r w:rsidRPr="002D3F8D">
        <w:rPr>
          <w:i/>
        </w:rPr>
        <w:t>(</w:t>
      </w:r>
      <w:r w:rsidR="009F06D0">
        <w:rPr>
          <w:i/>
        </w:rPr>
        <w:t>5</w:t>
      </w:r>
      <w:r w:rsidRPr="002D3F8D">
        <w:rPr>
          <w:i/>
        </w:rPr>
        <w:t>)</w:t>
      </w:r>
      <w:r w:rsidRPr="002D3F8D">
        <w:rPr>
          <w:i/>
          <w:highlight w:val="white"/>
        </w:rPr>
        <w:t xml:space="preserve"> Báo cáo thẩm định của Sở Tư pháp; (</w:t>
      </w:r>
      <w:r w:rsidR="009F06D0">
        <w:rPr>
          <w:i/>
          <w:highlight w:val="white"/>
        </w:rPr>
        <w:t>6</w:t>
      </w:r>
      <w:r w:rsidRPr="002D3F8D">
        <w:rPr>
          <w:i/>
          <w:highlight w:val="white"/>
        </w:rPr>
        <w:t xml:space="preserve">) </w:t>
      </w:r>
      <w:r w:rsidR="009F06D0">
        <w:rPr>
          <w:i/>
          <w:highlight w:val="white"/>
        </w:rPr>
        <w:t>Báo cáo tiếp thu, giải trình ý kiến thẩm định</w:t>
      </w:r>
      <w:r w:rsidR="006E2748">
        <w:rPr>
          <w:highlight w:val="white"/>
        </w:rPr>
        <w:t>).</w:t>
      </w:r>
    </w:p>
    <w:p w14:paraId="4A4287D7" w14:textId="3167D742" w:rsidR="004A721B" w:rsidRPr="002D3F8D" w:rsidRDefault="004A721B" w:rsidP="009E1625">
      <w:pPr>
        <w:spacing w:before="120"/>
        <w:ind w:firstLine="720"/>
        <w:jc w:val="both"/>
        <w:rPr>
          <w:highlight w:val="white"/>
        </w:rPr>
      </w:pPr>
      <w:r w:rsidRPr="002D3F8D">
        <w:rPr>
          <w:highlight w:val="white"/>
        </w:rPr>
        <w:t>Ủy ban nhân dân tỉnh kính trình Hội đồng nhân dân tỉnh</w:t>
      </w:r>
      <w:r w:rsidRPr="002D3F8D">
        <w:rPr>
          <w:lang w:val="nl-NL"/>
        </w:rPr>
        <w:t xml:space="preserve"> Kỳ họp thứ </w:t>
      </w:r>
      <w:r w:rsidR="0099104D" w:rsidRPr="002D3F8D">
        <w:rPr>
          <w:lang w:val="nl-NL"/>
        </w:rPr>
        <w:t>6</w:t>
      </w:r>
      <w:r w:rsidRPr="002D3F8D">
        <w:rPr>
          <w:lang w:val="nl-NL"/>
        </w:rPr>
        <w:t xml:space="preserve"> (</w:t>
      </w:r>
      <w:r w:rsidR="0099104D" w:rsidRPr="002D3F8D">
        <w:rPr>
          <w:lang w:val="nl-NL"/>
        </w:rPr>
        <w:t>Kỳ họp thường lệ cuối năm 2025</w:t>
      </w:r>
      <w:r w:rsidRPr="002D3F8D">
        <w:rPr>
          <w:lang w:val="nl-NL"/>
        </w:rPr>
        <w:t>) của Hội đồng nhân dân tỉnh</w:t>
      </w:r>
      <w:r w:rsidRPr="002D3F8D">
        <w:rPr>
          <w:highlight w:val="white"/>
        </w:rPr>
        <w:t xml:space="preserve"> xem xét, quyết định./.</w:t>
      </w:r>
    </w:p>
    <w:p w14:paraId="756212E7" w14:textId="77777777" w:rsidR="004A721B" w:rsidRPr="002D3F8D" w:rsidRDefault="004A721B" w:rsidP="004A721B">
      <w:pPr>
        <w:spacing w:before="120"/>
        <w:ind w:firstLine="567"/>
        <w:jc w:val="both"/>
        <w:rPr>
          <w:sz w:val="8"/>
          <w:szCs w:val="14"/>
          <w:highlight w:val="white"/>
        </w:rPr>
      </w:pPr>
    </w:p>
    <w:tbl>
      <w:tblPr>
        <w:tblW w:w="0" w:type="auto"/>
        <w:tblInd w:w="108" w:type="dxa"/>
        <w:tblLook w:val="01E0" w:firstRow="1" w:lastRow="1" w:firstColumn="1" w:lastColumn="1" w:noHBand="0" w:noVBand="0"/>
      </w:tblPr>
      <w:tblGrid>
        <w:gridCol w:w="4715"/>
        <w:gridCol w:w="4249"/>
      </w:tblGrid>
      <w:tr w:rsidR="00397B4F" w:rsidRPr="002D3F8D" w14:paraId="25B9B0D2" w14:textId="77777777" w:rsidTr="00DD01EF">
        <w:trPr>
          <w:trHeight w:val="2336"/>
        </w:trPr>
        <w:tc>
          <w:tcPr>
            <w:tcW w:w="4773" w:type="dxa"/>
          </w:tcPr>
          <w:p w14:paraId="4E7C12EA" w14:textId="77777777" w:rsidR="004A721B" w:rsidRPr="002D3F8D" w:rsidRDefault="004A721B" w:rsidP="00DD01EF">
            <w:pPr>
              <w:tabs>
                <w:tab w:val="left" w:pos="1860"/>
              </w:tabs>
              <w:ind w:left="-108"/>
              <w:jc w:val="both"/>
              <w:rPr>
                <w:b/>
                <w:bCs/>
                <w:i/>
                <w:iCs/>
                <w:sz w:val="24"/>
                <w:szCs w:val="24"/>
                <w:highlight w:val="white"/>
                <w:lang w:val="fi-FI"/>
              </w:rPr>
            </w:pPr>
            <w:r w:rsidRPr="002D3F8D">
              <w:rPr>
                <w:b/>
                <w:bCs/>
                <w:i/>
                <w:iCs/>
                <w:sz w:val="24"/>
                <w:szCs w:val="24"/>
                <w:highlight w:val="white"/>
                <w:u w:color="FF0000"/>
                <w:lang w:val="fi-FI"/>
              </w:rPr>
              <w:t>Nơi nhận</w:t>
            </w:r>
            <w:r w:rsidRPr="002D3F8D">
              <w:rPr>
                <w:b/>
                <w:bCs/>
                <w:i/>
                <w:iCs/>
                <w:sz w:val="24"/>
                <w:szCs w:val="24"/>
                <w:highlight w:val="white"/>
                <w:lang w:val="fi-FI"/>
              </w:rPr>
              <w:t>:</w:t>
            </w:r>
            <w:r w:rsidRPr="002D3F8D">
              <w:rPr>
                <w:b/>
                <w:bCs/>
                <w:i/>
                <w:iCs/>
                <w:sz w:val="24"/>
                <w:szCs w:val="24"/>
                <w:highlight w:val="white"/>
                <w:lang w:val="fi-FI"/>
              </w:rPr>
              <w:tab/>
            </w:r>
            <w:r w:rsidRPr="002D3F8D">
              <w:rPr>
                <w:b/>
                <w:bCs/>
                <w:i/>
                <w:iCs/>
                <w:sz w:val="24"/>
                <w:szCs w:val="24"/>
                <w:highlight w:val="white"/>
                <w:lang w:val="fi-FI"/>
              </w:rPr>
              <w:tab/>
            </w:r>
            <w:r w:rsidRPr="002D3F8D">
              <w:rPr>
                <w:b/>
                <w:bCs/>
                <w:i/>
                <w:iCs/>
                <w:sz w:val="24"/>
                <w:szCs w:val="24"/>
                <w:highlight w:val="white"/>
                <w:lang w:val="fi-FI"/>
              </w:rPr>
              <w:tab/>
            </w:r>
          </w:p>
          <w:p w14:paraId="08EE8389" w14:textId="77777777" w:rsidR="004A721B" w:rsidRPr="002D3F8D" w:rsidRDefault="004A721B" w:rsidP="00DD01EF">
            <w:pPr>
              <w:tabs>
                <w:tab w:val="left" w:pos="1860"/>
              </w:tabs>
              <w:ind w:left="-108"/>
              <w:jc w:val="both"/>
              <w:rPr>
                <w:i/>
                <w:iCs/>
                <w:highlight w:val="white"/>
                <w:lang w:val="fi-FI"/>
              </w:rPr>
            </w:pPr>
            <w:r w:rsidRPr="002D3F8D">
              <w:rPr>
                <w:sz w:val="22"/>
                <w:szCs w:val="22"/>
                <w:highlight w:val="white"/>
                <w:lang w:val="fi-FI"/>
              </w:rPr>
              <w:t>- Như trên;</w:t>
            </w:r>
            <w:r w:rsidRPr="002D3F8D">
              <w:rPr>
                <w:i/>
                <w:iCs/>
                <w:sz w:val="22"/>
                <w:szCs w:val="22"/>
                <w:highlight w:val="white"/>
                <w:lang w:val="fi-FI"/>
              </w:rPr>
              <w:t xml:space="preserve"> </w:t>
            </w:r>
          </w:p>
          <w:p w14:paraId="4138E128" w14:textId="77777777" w:rsidR="004A721B" w:rsidRPr="002D3F8D" w:rsidRDefault="004A721B" w:rsidP="00DD01EF">
            <w:pPr>
              <w:tabs>
                <w:tab w:val="left" w:pos="1860"/>
              </w:tabs>
              <w:ind w:left="-108"/>
              <w:jc w:val="both"/>
              <w:rPr>
                <w:highlight w:val="white"/>
                <w:lang w:val="fi-FI"/>
              </w:rPr>
            </w:pPr>
            <w:r w:rsidRPr="002D3F8D">
              <w:rPr>
                <w:sz w:val="22"/>
                <w:szCs w:val="22"/>
                <w:highlight w:val="white"/>
                <w:lang w:val="fi-FI"/>
              </w:rPr>
              <w:t>- Chủ tịch, các PCT UBND tỉnh;</w:t>
            </w:r>
          </w:p>
          <w:p w14:paraId="3E2292D3" w14:textId="77777777" w:rsidR="004A721B" w:rsidRPr="002D3F8D" w:rsidRDefault="004A721B" w:rsidP="00DD01EF">
            <w:pPr>
              <w:tabs>
                <w:tab w:val="left" w:pos="1860"/>
              </w:tabs>
              <w:ind w:left="-108"/>
              <w:jc w:val="both"/>
              <w:rPr>
                <w:highlight w:val="white"/>
                <w:lang w:val="fi-FI"/>
              </w:rPr>
            </w:pPr>
            <w:r w:rsidRPr="002D3F8D">
              <w:rPr>
                <w:sz w:val="22"/>
                <w:szCs w:val="22"/>
                <w:highlight w:val="white"/>
              </w:rPr>
              <w:t>- Ban Kinh tế ngân sách HĐND tỉnh;</w:t>
            </w:r>
          </w:p>
          <w:p w14:paraId="78E5F464" w14:textId="77777777" w:rsidR="00083DCA" w:rsidRPr="002D3F8D" w:rsidRDefault="004A721B" w:rsidP="00DD01EF">
            <w:pPr>
              <w:tabs>
                <w:tab w:val="left" w:pos="1860"/>
              </w:tabs>
              <w:ind w:left="-108"/>
              <w:jc w:val="both"/>
              <w:rPr>
                <w:sz w:val="22"/>
                <w:szCs w:val="22"/>
                <w:highlight w:val="white"/>
              </w:rPr>
            </w:pPr>
            <w:r w:rsidRPr="002D3F8D">
              <w:rPr>
                <w:sz w:val="22"/>
                <w:szCs w:val="22"/>
                <w:highlight w:val="white"/>
              </w:rPr>
              <w:t xml:space="preserve">- Các sở: </w:t>
            </w:r>
            <w:r w:rsidR="00083DCA" w:rsidRPr="002D3F8D">
              <w:rPr>
                <w:sz w:val="22"/>
                <w:szCs w:val="22"/>
                <w:highlight w:val="white"/>
              </w:rPr>
              <w:t>Nông nghiệp và Môi trường,</w:t>
            </w:r>
          </w:p>
          <w:p w14:paraId="4F677394" w14:textId="03EF40CC" w:rsidR="004A721B" w:rsidRPr="002D3F8D" w:rsidRDefault="00083DCA" w:rsidP="00DD01EF">
            <w:pPr>
              <w:tabs>
                <w:tab w:val="left" w:pos="1860"/>
              </w:tabs>
              <w:ind w:left="-108"/>
              <w:jc w:val="both"/>
              <w:rPr>
                <w:highlight w:val="white"/>
                <w:lang w:val="fi-FI"/>
              </w:rPr>
            </w:pPr>
            <w:r w:rsidRPr="002D3F8D">
              <w:rPr>
                <w:sz w:val="22"/>
                <w:szCs w:val="22"/>
                <w:highlight w:val="white"/>
              </w:rPr>
              <w:t xml:space="preserve">  </w:t>
            </w:r>
            <w:r w:rsidR="004A721B" w:rsidRPr="002D3F8D">
              <w:rPr>
                <w:sz w:val="22"/>
                <w:szCs w:val="22"/>
                <w:highlight w:val="white"/>
              </w:rPr>
              <w:t>Tư pháp, Tài chính</w:t>
            </w:r>
            <w:r w:rsidR="00397B4F" w:rsidRPr="002D3F8D">
              <w:rPr>
                <w:sz w:val="22"/>
                <w:szCs w:val="22"/>
                <w:highlight w:val="white"/>
              </w:rPr>
              <w:t>, nội vụ</w:t>
            </w:r>
            <w:r w:rsidR="004A721B" w:rsidRPr="002D3F8D">
              <w:rPr>
                <w:sz w:val="22"/>
                <w:szCs w:val="22"/>
                <w:highlight w:val="white"/>
              </w:rPr>
              <w:t>;</w:t>
            </w:r>
          </w:p>
          <w:p w14:paraId="4EC9E72E" w14:textId="5EE76E11" w:rsidR="004A721B" w:rsidRPr="002D3F8D" w:rsidRDefault="004A721B" w:rsidP="00DD01EF">
            <w:pPr>
              <w:tabs>
                <w:tab w:val="left" w:pos="1860"/>
              </w:tabs>
              <w:ind w:left="-108"/>
              <w:jc w:val="both"/>
              <w:rPr>
                <w:sz w:val="22"/>
                <w:szCs w:val="22"/>
                <w:highlight w:val="white"/>
              </w:rPr>
            </w:pPr>
            <w:r w:rsidRPr="002D3F8D">
              <w:rPr>
                <w:sz w:val="22"/>
                <w:szCs w:val="22"/>
                <w:highlight w:val="white"/>
              </w:rPr>
              <w:t>- VP UBND tỉnh: CVP, các PCVP;</w:t>
            </w:r>
          </w:p>
          <w:p w14:paraId="32B6B790" w14:textId="4809961F" w:rsidR="004A721B" w:rsidRPr="002D3F8D" w:rsidRDefault="004A721B" w:rsidP="00DD01EF">
            <w:pPr>
              <w:tabs>
                <w:tab w:val="left" w:pos="1860"/>
              </w:tabs>
              <w:ind w:left="-108"/>
              <w:jc w:val="both"/>
              <w:rPr>
                <w:highlight w:val="white"/>
                <w:lang w:val="fi-FI"/>
              </w:rPr>
            </w:pPr>
            <w:r w:rsidRPr="002D3F8D">
              <w:rPr>
                <w:sz w:val="22"/>
                <w:szCs w:val="22"/>
                <w:highlight w:val="white"/>
              </w:rPr>
              <w:t>- Lưu</w:t>
            </w:r>
            <w:r w:rsidR="00473B6D" w:rsidRPr="002D3F8D">
              <w:rPr>
                <w:sz w:val="22"/>
                <w:szCs w:val="22"/>
                <w:highlight w:val="white"/>
              </w:rPr>
              <w:t>:</w:t>
            </w:r>
            <w:r w:rsidRPr="002D3F8D">
              <w:rPr>
                <w:sz w:val="22"/>
                <w:szCs w:val="22"/>
                <w:highlight w:val="white"/>
              </w:rPr>
              <w:t xml:space="preserve"> VT, NNMT</w:t>
            </w:r>
            <w:r w:rsidRPr="002D3F8D">
              <w:rPr>
                <w:sz w:val="22"/>
                <w:szCs w:val="22"/>
                <w:highlight w:val="white"/>
                <w:lang w:val="fi-FI"/>
              </w:rPr>
              <w:t>.</w:t>
            </w:r>
          </w:p>
        </w:tc>
        <w:tc>
          <w:tcPr>
            <w:tcW w:w="4299" w:type="dxa"/>
          </w:tcPr>
          <w:p w14:paraId="26ACDFB6" w14:textId="77777777" w:rsidR="004A721B" w:rsidRPr="002D3F8D" w:rsidRDefault="004A721B" w:rsidP="00DD01EF">
            <w:pPr>
              <w:jc w:val="center"/>
              <w:rPr>
                <w:b/>
                <w:bCs/>
                <w:highlight w:val="white"/>
              </w:rPr>
            </w:pPr>
            <w:r w:rsidRPr="002D3F8D">
              <w:rPr>
                <w:b/>
                <w:bCs/>
                <w:highlight w:val="white"/>
              </w:rPr>
              <w:t>TM. ỦY BAN NHÂN DÂN</w:t>
            </w:r>
          </w:p>
          <w:p w14:paraId="510F1F22" w14:textId="77777777" w:rsidR="004A721B" w:rsidRPr="002D3F8D" w:rsidRDefault="004A721B" w:rsidP="00DD01EF">
            <w:pPr>
              <w:jc w:val="center"/>
              <w:rPr>
                <w:b/>
                <w:bCs/>
                <w:highlight w:val="white"/>
              </w:rPr>
            </w:pPr>
            <w:r w:rsidRPr="002D3F8D">
              <w:rPr>
                <w:b/>
                <w:bCs/>
                <w:highlight w:val="white"/>
              </w:rPr>
              <w:t>KT. CHỦ TỊCH</w:t>
            </w:r>
          </w:p>
          <w:p w14:paraId="4C2A4945" w14:textId="77777777" w:rsidR="004A721B" w:rsidRPr="002D3F8D" w:rsidRDefault="004A721B" w:rsidP="00DD01EF">
            <w:pPr>
              <w:jc w:val="center"/>
              <w:rPr>
                <w:b/>
                <w:bCs/>
                <w:highlight w:val="white"/>
              </w:rPr>
            </w:pPr>
            <w:r w:rsidRPr="002D3F8D">
              <w:rPr>
                <w:b/>
                <w:bCs/>
                <w:highlight w:val="white"/>
              </w:rPr>
              <w:t>PHÓ CHỦ TỊCH</w:t>
            </w:r>
          </w:p>
          <w:p w14:paraId="0D49C7D1" w14:textId="77777777" w:rsidR="004A721B" w:rsidRPr="002D3F8D" w:rsidRDefault="004A721B" w:rsidP="00DD01EF">
            <w:pPr>
              <w:jc w:val="center"/>
              <w:rPr>
                <w:b/>
                <w:bCs/>
                <w:highlight w:val="white"/>
              </w:rPr>
            </w:pPr>
          </w:p>
          <w:p w14:paraId="6283580B" w14:textId="77777777" w:rsidR="004A721B" w:rsidRPr="002D3F8D" w:rsidRDefault="004A721B" w:rsidP="00DD01EF">
            <w:pPr>
              <w:jc w:val="center"/>
              <w:rPr>
                <w:highlight w:val="white"/>
              </w:rPr>
            </w:pPr>
          </w:p>
          <w:p w14:paraId="63D583E6" w14:textId="77777777" w:rsidR="004A721B" w:rsidRPr="002D3F8D" w:rsidRDefault="004A721B" w:rsidP="00DD01EF">
            <w:pPr>
              <w:jc w:val="center"/>
              <w:rPr>
                <w:highlight w:val="white"/>
              </w:rPr>
            </w:pPr>
          </w:p>
          <w:p w14:paraId="1131E999" w14:textId="77777777" w:rsidR="004A721B" w:rsidRPr="002D3F8D" w:rsidRDefault="004A721B" w:rsidP="00DD01EF">
            <w:pPr>
              <w:jc w:val="center"/>
              <w:rPr>
                <w:highlight w:val="white"/>
              </w:rPr>
            </w:pPr>
          </w:p>
          <w:p w14:paraId="42DB3A4B" w14:textId="77777777" w:rsidR="004A721B" w:rsidRPr="002D3F8D" w:rsidRDefault="004A721B" w:rsidP="00DD01EF">
            <w:pPr>
              <w:rPr>
                <w:highlight w:val="white"/>
              </w:rPr>
            </w:pPr>
          </w:p>
          <w:p w14:paraId="6F58336C" w14:textId="5B223D6C" w:rsidR="004A721B" w:rsidRPr="002D3F8D" w:rsidRDefault="004A721B" w:rsidP="00DD01EF">
            <w:pPr>
              <w:jc w:val="center"/>
              <w:rPr>
                <w:b/>
                <w:highlight w:val="white"/>
              </w:rPr>
            </w:pPr>
          </w:p>
        </w:tc>
      </w:tr>
    </w:tbl>
    <w:p w14:paraId="767C23DC" w14:textId="34E4B10E" w:rsidR="002926BF" w:rsidRPr="002D3F8D" w:rsidRDefault="002926BF" w:rsidP="006E30A5">
      <w:pPr>
        <w:pStyle w:val="nidungVB"/>
        <w:spacing w:before="120" w:after="0" w:line="240" w:lineRule="auto"/>
        <w:ind w:firstLine="720"/>
      </w:pPr>
    </w:p>
    <w:sectPr w:rsidR="002926BF" w:rsidRPr="002D3F8D" w:rsidSect="00F349CA">
      <w:headerReference w:type="default" r:id="rId8"/>
      <w:pgSz w:w="11907" w:h="16840" w:code="9"/>
      <w:pgMar w:top="1134" w:right="1134" w:bottom="851" w:left="1701" w:header="624" w:footer="624"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AB59D2" w14:textId="77777777" w:rsidR="005C0968" w:rsidRDefault="005C0968" w:rsidP="00E544E8">
      <w:r>
        <w:separator/>
      </w:r>
    </w:p>
  </w:endnote>
  <w:endnote w:type="continuationSeparator" w:id="0">
    <w:p w14:paraId="259DE2C4" w14:textId="77777777" w:rsidR="005C0968" w:rsidRDefault="005C0968" w:rsidP="00E544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H">
    <w:panose1 w:val="020B7200000000000000"/>
    <w:charset w:val="00"/>
    <w:family w:val="swiss"/>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ECC8C3" w14:textId="77777777" w:rsidR="005C0968" w:rsidRDefault="005C0968" w:rsidP="00E544E8">
      <w:r>
        <w:separator/>
      </w:r>
    </w:p>
  </w:footnote>
  <w:footnote w:type="continuationSeparator" w:id="0">
    <w:p w14:paraId="4AB3E600" w14:textId="77777777" w:rsidR="005C0968" w:rsidRDefault="005C0968" w:rsidP="00E544E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9375148"/>
      <w:docPartObj>
        <w:docPartGallery w:val="Page Numbers (Top of Page)"/>
        <w:docPartUnique/>
      </w:docPartObj>
    </w:sdtPr>
    <w:sdtEndPr>
      <w:rPr>
        <w:noProof/>
      </w:rPr>
    </w:sdtEndPr>
    <w:sdtContent>
      <w:p w14:paraId="2F96943D" w14:textId="3F31E2D0" w:rsidR="00E544E8" w:rsidRDefault="00E544E8">
        <w:pPr>
          <w:pStyle w:val="Header"/>
          <w:jc w:val="center"/>
        </w:pPr>
        <w:r>
          <w:fldChar w:fldCharType="begin"/>
        </w:r>
        <w:r>
          <w:instrText xml:space="preserve"> PAGE   \* MERGEFORMAT </w:instrText>
        </w:r>
        <w:r>
          <w:fldChar w:fldCharType="separate"/>
        </w:r>
        <w:r w:rsidR="00D22A76">
          <w:rPr>
            <w:noProof/>
          </w:rPr>
          <w:t>3</w:t>
        </w:r>
        <w:r>
          <w:rPr>
            <w:noProof/>
          </w:rPr>
          <w:fldChar w:fldCharType="end"/>
        </w:r>
      </w:p>
    </w:sdtContent>
  </w:sdt>
  <w:p w14:paraId="60199C9B" w14:textId="77777777" w:rsidR="00E544E8" w:rsidRDefault="00E544E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C14872"/>
    <w:multiLevelType w:val="hybridMultilevel"/>
    <w:tmpl w:val="791A6312"/>
    <w:lvl w:ilvl="0" w:tplc="30E66B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CC5"/>
    <w:rsid w:val="000549EE"/>
    <w:rsid w:val="00066FF8"/>
    <w:rsid w:val="00083DCA"/>
    <w:rsid w:val="00087647"/>
    <w:rsid w:val="000901F1"/>
    <w:rsid w:val="0009154C"/>
    <w:rsid w:val="000A1415"/>
    <w:rsid w:val="000C2060"/>
    <w:rsid w:val="000C562E"/>
    <w:rsid w:val="000C773A"/>
    <w:rsid w:val="000E53F8"/>
    <w:rsid w:val="000F0A78"/>
    <w:rsid w:val="000F1911"/>
    <w:rsid w:val="000F4095"/>
    <w:rsid w:val="00107E09"/>
    <w:rsid w:val="001206DD"/>
    <w:rsid w:val="001354E0"/>
    <w:rsid w:val="00147B75"/>
    <w:rsid w:val="00153456"/>
    <w:rsid w:val="001636E5"/>
    <w:rsid w:val="00180827"/>
    <w:rsid w:val="00195D5D"/>
    <w:rsid w:val="001A5746"/>
    <w:rsid w:val="001B7230"/>
    <w:rsid w:val="001C16E8"/>
    <w:rsid w:val="001C6685"/>
    <w:rsid w:val="001D373F"/>
    <w:rsid w:val="00211F66"/>
    <w:rsid w:val="002306B7"/>
    <w:rsid w:val="0025181C"/>
    <w:rsid w:val="002926BF"/>
    <w:rsid w:val="002D3F8D"/>
    <w:rsid w:val="002D57DE"/>
    <w:rsid w:val="002D5B73"/>
    <w:rsid w:val="00310B92"/>
    <w:rsid w:val="003425FC"/>
    <w:rsid w:val="003472C3"/>
    <w:rsid w:val="00375EA3"/>
    <w:rsid w:val="00384A1A"/>
    <w:rsid w:val="00397B4F"/>
    <w:rsid w:val="003B2FB6"/>
    <w:rsid w:val="003B32D5"/>
    <w:rsid w:val="003C43F4"/>
    <w:rsid w:val="00400AB2"/>
    <w:rsid w:val="00431C55"/>
    <w:rsid w:val="004442BB"/>
    <w:rsid w:val="00460632"/>
    <w:rsid w:val="00463ADC"/>
    <w:rsid w:val="00463AF8"/>
    <w:rsid w:val="00473B6D"/>
    <w:rsid w:val="0047484F"/>
    <w:rsid w:val="00480181"/>
    <w:rsid w:val="00485281"/>
    <w:rsid w:val="004A721B"/>
    <w:rsid w:val="004B7D2B"/>
    <w:rsid w:val="004F390C"/>
    <w:rsid w:val="00502D1B"/>
    <w:rsid w:val="00535269"/>
    <w:rsid w:val="005413EE"/>
    <w:rsid w:val="00594AE3"/>
    <w:rsid w:val="005B5D0B"/>
    <w:rsid w:val="005C02F4"/>
    <w:rsid w:val="005C0968"/>
    <w:rsid w:val="005C0EF2"/>
    <w:rsid w:val="005C748B"/>
    <w:rsid w:val="005E1922"/>
    <w:rsid w:val="00623F52"/>
    <w:rsid w:val="006459CA"/>
    <w:rsid w:val="0065104D"/>
    <w:rsid w:val="006564F9"/>
    <w:rsid w:val="0066274F"/>
    <w:rsid w:val="006705B0"/>
    <w:rsid w:val="00690BD8"/>
    <w:rsid w:val="006A1523"/>
    <w:rsid w:val="006A1E8B"/>
    <w:rsid w:val="006B6090"/>
    <w:rsid w:val="006C1F04"/>
    <w:rsid w:val="006E2748"/>
    <w:rsid w:val="006E30A5"/>
    <w:rsid w:val="006F37F3"/>
    <w:rsid w:val="00733278"/>
    <w:rsid w:val="00747805"/>
    <w:rsid w:val="007806DD"/>
    <w:rsid w:val="007909A9"/>
    <w:rsid w:val="00790ECB"/>
    <w:rsid w:val="007965AC"/>
    <w:rsid w:val="007A6748"/>
    <w:rsid w:val="00807F16"/>
    <w:rsid w:val="00832754"/>
    <w:rsid w:val="00874079"/>
    <w:rsid w:val="00877C02"/>
    <w:rsid w:val="00884921"/>
    <w:rsid w:val="008866AF"/>
    <w:rsid w:val="0089457E"/>
    <w:rsid w:val="00896A18"/>
    <w:rsid w:val="0089700F"/>
    <w:rsid w:val="008B4031"/>
    <w:rsid w:val="008C2FCC"/>
    <w:rsid w:val="008D64FC"/>
    <w:rsid w:val="008D7CC5"/>
    <w:rsid w:val="008E62B1"/>
    <w:rsid w:val="00902CE4"/>
    <w:rsid w:val="0091270C"/>
    <w:rsid w:val="009464C3"/>
    <w:rsid w:val="00951323"/>
    <w:rsid w:val="009610C3"/>
    <w:rsid w:val="00961426"/>
    <w:rsid w:val="00961CEB"/>
    <w:rsid w:val="00972638"/>
    <w:rsid w:val="00980BC7"/>
    <w:rsid w:val="00980E16"/>
    <w:rsid w:val="0099104D"/>
    <w:rsid w:val="009B2540"/>
    <w:rsid w:val="009D7347"/>
    <w:rsid w:val="009E1625"/>
    <w:rsid w:val="009F06D0"/>
    <w:rsid w:val="00A07865"/>
    <w:rsid w:val="00A144AC"/>
    <w:rsid w:val="00A20B0A"/>
    <w:rsid w:val="00A57093"/>
    <w:rsid w:val="00A74542"/>
    <w:rsid w:val="00A7676E"/>
    <w:rsid w:val="00A80968"/>
    <w:rsid w:val="00A81233"/>
    <w:rsid w:val="00A84D4D"/>
    <w:rsid w:val="00AA64FA"/>
    <w:rsid w:val="00AD73F2"/>
    <w:rsid w:val="00AF1D7E"/>
    <w:rsid w:val="00B064F8"/>
    <w:rsid w:val="00B209E4"/>
    <w:rsid w:val="00B33D7C"/>
    <w:rsid w:val="00B3487E"/>
    <w:rsid w:val="00B50C50"/>
    <w:rsid w:val="00B5791B"/>
    <w:rsid w:val="00B64A76"/>
    <w:rsid w:val="00B83D8B"/>
    <w:rsid w:val="00B94AE9"/>
    <w:rsid w:val="00BC4BFD"/>
    <w:rsid w:val="00BF5FE7"/>
    <w:rsid w:val="00C01F3C"/>
    <w:rsid w:val="00C2073F"/>
    <w:rsid w:val="00C35879"/>
    <w:rsid w:val="00C52C81"/>
    <w:rsid w:val="00C74E63"/>
    <w:rsid w:val="00C86A4F"/>
    <w:rsid w:val="00CA6CEF"/>
    <w:rsid w:val="00CC1976"/>
    <w:rsid w:val="00CE050E"/>
    <w:rsid w:val="00CE4A3A"/>
    <w:rsid w:val="00CF770A"/>
    <w:rsid w:val="00D20932"/>
    <w:rsid w:val="00D22A76"/>
    <w:rsid w:val="00D32621"/>
    <w:rsid w:val="00D33435"/>
    <w:rsid w:val="00D455E2"/>
    <w:rsid w:val="00D474E9"/>
    <w:rsid w:val="00D54C4B"/>
    <w:rsid w:val="00D56D7D"/>
    <w:rsid w:val="00D71DCE"/>
    <w:rsid w:val="00D818E2"/>
    <w:rsid w:val="00D85F2C"/>
    <w:rsid w:val="00D91CC0"/>
    <w:rsid w:val="00DB6B14"/>
    <w:rsid w:val="00DC0D31"/>
    <w:rsid w:val="00DD16B9"/>
    <w:rsid w:val="00DD26D6"/>
    <w:rsid w:val="00DE7D99"/>
    <w:rsid w:val="00E23B9E"/>
    <w:rsid w:val="00E412F5"/>
    <w:rsid w:val="00E42465"/>
    <w:rsid w:val="00E44551"/>
    <w:rsid w:val="00E544E8"/>
    <w:rsid w:val="00E833F9"/>
    <w:rsid w:val="00E8446E"/>
    <w:rsid w:val="00E90B68"/>
    <w:rsid w:val="00EA3C67"/>
    <w:rsid w:val="00EA476E"/>
    <w:rsid w:val="00EB1DDA"/>
    <w:rsid w:val="00EB5AFD"/>
    <w:rsid w:val="00EB7E2A"/>
    <w:rsid w:val="00EC6A4A"/>
    <w:rsid w:val="00ED4D71"/>
    <w:rsid w:val="00ED5BDA"/>
    <w:rsid w:val="00ED673D"/>
    <w:rsid w:val="00EE7528"/>
    <w:rsid w:val="00EE7FB8"/>
    <w:rsid w:val="00EF4BE8"/>
    <w:rsid w:val="00EF4BFB"/>
    <w:rsid w:val="00F01D7F"/>
    <w:rsid w:val="00F06B9B"/>
    <w:rsid w:val="00F349CA"/>
    <w:rsid w:val="00F548D2"/>
    <w:rsid w:val="00F654F1"/>
    <w:rsid w:val="00F817C0"/>
    <w:rsid w:val="00FC63FD"/>
    <w:rsid w:val="00FC7B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4D175"/>
  <w15:chartTrackingRefBased/>
  <w15:docId w15:val="{5F9338DF-0599-4AAE-BAE1-0C402CDD7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7D2B"/>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4B7D2B"/>
    <w:pPr>
      <w:keepNext/>
      <w:outlineLvl w:val="0"/>
    </w:pPr>
    <w:rPr>
      <w:rFonts w:ascii=".VnTimeH" w:hAnsi=".VnTimeH"/>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B7D2B"/>
    <w:rPr>
      <w:rFonts w:ascii=".VnTimeH" w:eastAsia="Times New Roman" w:hAnsi=".VnTimeH" w:cs="Times New Roman"/>
      <w:b/>
      <w:sz w:val="26"/>
      <w:szCs w:val="20"/>
    </w:rPr>
  </w:style>
  <w:style w:type="paragraph" w:customStyle="1" w:styleId="K1">
    <w:name w:val="Kỳ 1"/>
    <w:basedOn w:val="Normal"/>
    <w:link w:val="K1Char"/>
    <w:qFormat/>
    <w:rsid w:val="00D33435"/>
    <w:pPr>
      <w:keepNext/>
      <w:spacing w:before="120" w:after="120"/>
      <w:ind w:firstLine="720"/>
      <w:jc w:val="both"/>
    </w:pPr>
    <w:rPr>
      <w:szCs w:val="24"/>
    </w:rPr>
  </w:style>
  <w:style w:type="character" w:customStyle="1" w:styleId="K1Char">
    <w:name w:val="Kỳ 1 Char"/>
    <w:link w:val="K1"/>
    <w:rsid w:val="00D33435"/>
    <w:rPr>
      <w:rFonts w:ascii="Times New Roman" w:eastAsia="Times New Roman" w:hAnsi="Times New Roman" w:cs="Times New Roman"/>
      <w:sz w:val="28"/>
      <w:szCs w:val="24"/>
    </w:rPr>
  </w:style>
  <w:style w:type="paragraph" w:customStyle="1" w:styleId="Ky2">
    <w:name w:val="Ky 2"/>
    <w:basedOn w:val="Normal"/>
    <w:link w:val="Ky2Char"/>
    <w:qFormat/>
    <w:rsid w:val="00D33435"/>
    <w:pPr>
      <w:spacing w:before="120" w:after="120"/>
      <w:ind w:firstLine="720"/>
      <w:jc w:val="both"/>
    </w:pPr>
    <w:rPr>
      <w:szCs w:val="24"/>
    </w:rPr>
  </w:style>
  <w:style w:type="character" w:customStyle="1" w:styleId="Ky2Char">
    <w:name w:val="Ky 2 Char"/>
    <w:basedOn w:val="DefaultParagraphFont"/>
    <w:link w:val="Ky2"/>
    <w:rsid w:val="00D33435"/>
    <w:rPr>
      <w:rFonts w:ascii="Times New Roman" w:eastAsia="Times New Roman" w:hAnsi="Times New Roman" w:cs="Times New Roman"/>
      <w:sz w:val="28"/>
      <w:szCs w:val="24"/>
    </w:rPr>
  </w:style>
  <w:style w:type="paragraph" w:styleId="NormalWeb">
    <w:name w:val="Normal (Web)"/>
    <w:aliases w:val="Char Char Char,Char Char,Char Char Char Char Char Char Char Char Char, Char Char Char,Char Char Char Char Char Char Char Char Char Char Char,Обычный (веб)1,Обычный (веб) Знак,Обычный (веб) Знак1,Обычный (веб) Знак Знак, Char Char"/>
    <w:basedOn w:val="Normal"/>
    <w:link w:val="NormalWebChar"/>
    <w:uiPriority w:val="99"/>
    <w:unhideWhenUsed/>
    <w:qFormat/>
    <w:rsid w:val="00D33435"/>
    <w:pPr>
      <w:spacing w:before="100" w:beforeAutospacing="1" w:after="100" w:afterAutospacing="1"/>
    </w:pPr>
    <w:rPr>
      <w:sz w:val="24"/>
      <w:szCs w:val="24"/>
    </w:rPr>
  </w:style>
  <w:style w:type="character" w:customStyle="1" w:styleId="NormalWebChar">
    <w:name w:val="Normal (Web) Char"/>
    <w:aliases w:val="Char Char Char Char,Char Char Char1,Char Char Char Char Char Char Char Char Char Char, Char Char Char Char,Char Char Char Char Char Char Char Char Char Char Char Char,Обычный (веб)1 Char,Обычный (веб) Знак Char,Обычный (веб) Знак1 Char"/>
    <w:link w:val="NormalWeb"/>
    <w:uiPriority w:val="99"/>
    <w:locked/>
    <w:rsid w:val="00D33435"/>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544E8"/>
    <w:pPr>
      <w:tabs>
        <w:tab w:val="center" w:pos="4680"/>
        <w:tab w:val="right" w:pos="9360"/>
      </w:tabs>
    </w:pPr>
  </w:style>
  <w:style w:type="character" w:customStyle="1" w:styleId="HeaderChar">
    <w:name w:val="Header Char"/>
    <w:basedOn w:val="DefaultParagraphFont"/>
    <w:link w:val="Header"/>
    <w:uiPriority w:val="99"/>
    <w:rsid w:val="00E544E8"/>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E544E8"/>
    <w:pPr>
      <w:tabs>
        <w:tab w:val="center" w:pos="4680"/>
        <w:tab w:val="right" w:pos="9360"/>
      </w:tabs>
    </w:pPr>
  </w:style>
  <w:style w:type="character" w:customStyle="1" w:styleId="FooterChar">
    <w:name w:val="Footer Char"/>
    <w:basedOn w:val="DefaultParagraphFont"/>
    <w:link w:val="Footer"/>
    <w:uiPriority w:val="99"/>
    <w:rsid w:val="00E544E8"/>
    <w:rPr>
      <w:rFonts w:ascii="Times New Roman" w:eastAsia="Times New Roman" w:hAnsi="Times New Roman" w:cs="Times New Roman"/>
      <w:sz w:val="28"/>
      <w:szCs w:val="28"/>
    </w:rPr>
  </w:style>
  <w:style w:type="paragraph" w:styleId="FootnoteText">
    <w:name w:val="footnote text"/>
    <w:basedOn w:val="Normal"/>
    <w:link w:val="FootnoteTextChar"/>
    <w:uiPriority w:val="99"/>
    <w:semiHidden/>
    <w:unhideWhenUsed/>
    <w:rsid w:val="005C0EF2"/>
    <w:rPr>
      <w:sz w:val="20"/>
      <w:szCs w:val="20"/>
    </w:rPr>
  </w:style>
  <w:style w:type="character" w:customStyle="1" w:styleId="FootnoteTextChar">
    <w:name w:val="Footnote Text Char"/>
    <w:basedOn w:val="DefaultParagraphFont"/>
    <w:link w:val="FootnoteText"/>
    <w:uiPriority w:val="99"/>
    <w:semiHidden/>
    <w:rsid w:val="005C0EF2"/>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C0EF2"/>
    <w:rPr>
      <w:vertAlign w:val="superscript"/>
    </w:rPr>
  </w:style>
  <w:style w:type="paragraph" w:customStyle="1" w:styleId="nidungVB">
    <w:name w:val="nội dung VB"/>
    <w:basedOn w:val="Normal"/>
    <w:uiPriority w:val="99"/>
    <w:rsid w:val="00400AB2"/>
    <w:pPr>
      <w:widowControl w:val="0"/>
      <w:spacing w:after="120" w:line="400" w:lineRule="atLeast"/>
      <w:ind w:firstLine="567"/>
      <w:jc w:val="both"/>
    </w:pPr>
    <w:rPr>
      <w:rFonts w:eastAsia="Calibri"/>
    </w:rPr>
  </w:style>
  <w:style w:type="character" w:customStyle="1" w:styleId="fontstyle01">
    <w:name w:val="fontstyle01"/>
    <w:basedOn w:val="DefaultParagraphFont"/>
    <w:rsid w:val="00594AE3"/>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8776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DD67E0-38F4-4F09-B921-EBBDE3DFF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4</Pages>
  <Words>1521</Words>
  <Characters>8675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cp:lastModifiedBy>
  <cp:revision>87</cp:revision>
  <dcterms:created xsi:type="dcterms:W3CDTF">2025-09-24T03:27:00Z</dcterms:created>
  <dcterms:modified xsi:type="dcterms:W3CDTF">2025-10-26T01:02:00Z</dcterms:modified>
</cp:coreProperties>
</file>