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F46BCF" w14:paraId="41A9A253" w14:textId="77777777" w:rsidTr="00DC1489">
        <w:tc>
          <w:tcPr>
            <w:tcW w:w="3397" w:type="dxa"/>
          </w:tcPr>
          <w:p w14:paraId="56E52533" w14:textId="77777777" w:rsidR="00F46BCF" w:rsidRPr="00DC1489" w:rsidRDefault="00F46BCF" w:rsidP="00DC1489">
            <w:pPr>
              <w:jc w:val="center"/>
              <w:rPr>
                <w:sz w:val="26"/>
                <w:lang w:val="en-US"/>
              </w:rPr>
            </w:pPr>
            <w:r w:rsidRPr="00DC1489">
              <w:rPr>
                <w:sz w:val="26"/>
                <w:lang w:val="en-US"/>
              </w:rPr>
              <w:t>UBND TỈNH QUẢNG NGÃI</w:t>
            </w:r>
          </w:p>
          <w:p w14:paraId="2FD0E88D" w14:textId="783A1902" w:rsidR="00F46BCF" w:rsidRPr="00DC1489" w:rsidRDefault="00F46BCF" w:rsidP="00DC1489">
            <w:pPr>
              <w:jc w:val="center"/>
              <w:rPr>
                <w:b/>
                <w:bCs/>
                <w:sz w:val="26"/>
                <w:lang w:val="en-US"/>
              </w:rPr>
            </w:pPr>
            <w:r w:rsidRPr="00DC1489">
              <w:rPr>
                <w:b/>
                <w:bCs/>
                <w:sz w:val="26"/>
                <w:lang w:val="en-US"/>
              </w:rPr>
              <w:t xml:space="preserve">SỞ </w:t>
            </w:r>
            <w:r w:rsidR="003F1FE8">
              <w:rPr>
                <w:b/>
                <w:bCs/>
                <w:sz w:val="26"/>
                <w:lang w:val="en-US"/>
              </w:rPr>
              <w:t>TÀI CHÍNH</w:t>
            </w:r>
          </w:p>
          <w:p w14:paraId="7C762696" w14:textId="1C67BB0D" w:rsidR="00F46BCF" w:rsidRPr="00DC1489" w:rsidRDefault="00B43C36" w:rsidP="00DC1489">
            <w:pPr>
              <w:spacing w:before="120"/>
              <w:jc w:val="center"/>
              <w:rPr>
                <w:lang w:val="en-US"/>
              </w:rPr>
            </w:pPr>
            <w:r>
              <w:rPr>
                <w:b/>
                <w:bCs/>
                <w:noProof/>
                <w:sz w:val="26"/>
                <w:lang w:val="en-US"/>
              </w:rPr>
              <mc:AlternateContent>
                <mc:Choice Requires="wps">
                  <w:drawing>
                    <wp:anchor distT="0" distB="0" distL="114300" distR="114300" simplePos="0" relativeHeight="251659264" behindDoc="0" locked="0" layoutInCell="1" allowOverlap="1" wp14:anchorId="3CA9007F" wp14:editId="3A84E08E">
                      <wp:simplePos x="0" y="0"/>
                      <wp:positionH relativeFrom="column">
                        <wp:posOffset>794385</wp:posOffset>
                      </wp:positionH>
                      <wp:positionV relativeFrom="paragraph">
                        <wp:posOffset>14605</wp:posOffset>
                      </wp:positionV>
                      <wp:extent cx="447675" cy="0"/>
                      <wp:effectExtent l="0" t="0" r="0" b="0"/>
                      <wp:wrapNone/>
                      <wp:docPr id="1069368570" name="Straight Connector 1"/>
                      <wp:cNvGraphicFramePr/>
                      <a:graphic xmlns:a="http://schemas.openxmlformats.org/drawingml/2006/main">
                        <a:graphicData uri="http://schemas.microsoft.com/office/word/2010/wordprocessingShape">
                          <wps:wsp>
                            <wps:cNvCnPr/>
                            <wps:spPr>
                              <a:xfrm>
                                <a:off x="0" y="0"/>
                                <a:ext cx="447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F3E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5pt,1.15pt" to="9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0GsgEAANMDAAAOAAAAZHJzL2Uyb0RvYy54bWysU01v2zAMvQ/YfxB0X+QUXTsY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" strokecolor="black [3213]" strokeweight=".5pt">
                      <v:stroke joinstyle="miter"/>
                    </v:line>
                  </w:pict>
                </mc:Fallback>
              </mc:AlternateContent>
            </w:r>
            <w:r w:rsidR="00F46BCF" w:rsidRPr="00DC1489">
              <w:rPr>
                <w:sz w:val="26"/>
                <w:lang w:val="en-US"/>
              </w:rPr>
              <w:t>Số:           /BC-S</w:t>
            </w:r>
            <w:r w:rsidR="003F1FE8">
              <w:rPr>
                <w:sz w:val="26"/>
                <w:lang w:val="en-US"/>
              </w:rPr>
              <w:t>TC</w:t>
            </w:r>
          </w:p>
        </w:tc>
        <w:tc>
          <w:tcPr>
            <w:tcW w:w="5664" w:type="dxa"/>
          </w:tcPr>
          <w:p w14:paraId="5BB33FA0" w14:textId="77777777" w:rsidR="00F46BCF" w:rsidRPr="00DC1489" w:rsidRDefault="00DC1489" w:rsidP="00DC1489">
            <w:pPr>
              <w:jc w:val="center"/>
              <w:rPr>
                <w:b/>
                <w:bCs/>
                <w:sz w:val="26"/>
                <w:lang w:val="en-US"/>
              </w:rPr>
            </w:pPr>
            <w:r w:rsidRPr="00DC1489">
              <w:rPr>
                <w:b/>
                <w:bCs/>
                <w:sz w:val="26"/>
                <w:lang w:val="en-US"/>
              </w:rPr>
              <w:t>CỘNG HÒA XÃ HỘI CHỦ NGHĨA VIỆT NAM</w:t>
            </w:r>
          </w:p>
          <w:p w14:paraId="069CD623" w14:textId="77777777" w:rsidR="00DC1489" w:rsidRPr="00DC1489" w:rsidRDefault="00DC1489" w:rsidP="00DC1489">
            <w:pPr>
              <w:jc w:val="center"/>
              <w:rPr>
                <w:b/>
                <w:bCs/>
                <w:szCs w:val="28"/>
                <w:lang w:val="en-US"/>
              </w:rPr>
            </w:pPr>
            <w:r w:rsidRPr="00DC1489">
              <w:rPr>
                <w:b/>
                <w:bCs/>
                <w:szCs w:val="28"/>
                <w:lang w:val="en-US"/>
              </w:rPr>
              <w:t>Độc lập - Tự do - Hạnh phúc</w:t>
            </w:r>
          </w:p>
          <w:p w14:paraId="49CFBD9A" w14:textId="2458C947" w:rsidR="00DC1489" w:rsidRPr="00DC1489" w:rsidRDefault="00B43C36" w:rsidP="00DC1489">
            <w:pPr>
              <w:spacing w:before="120"/>
              <w:jc w:val="center"/>
              <w:rPr>
                <w:i/>
                <w:iCs w:val="0"/>
                <w:lang w:val="en-US"/>
              </w:rPr>
            </w:pPr>
            <w:r>
              <w:rPr>
                <w:i/>
                <w:iCs w:val="0"/>
                <w:noProof/>
                <w:sz w:val="26"/>
                <w:lang w:val="en-US"/>
              </w:rPr>
              <mc:AlternateContent>
                <mc:Choice Requires="wps">
                  <w:drawing>
                    <wp:anchor distT="0" distB="0" distL="114300" distR="114300" simplePos="0" relativeHeight="251660288" behindDoc="0" locked="0" layoutInCell="1" allowOverlap="1" wp14:anchorId="16A767F4" wp14:editId="2F4BB03E">
                      <wp:simplePos x="0" y="0"/>
                      <wp:positionH relativeFrom="column">
                        <wp:posOffset>636905</wp:posOffset>
                      </wp:positionH>
                      <wp:positionV relativeFrom="paragraph">
                        <wp:posOffset>19050</wp:posOffset>
                      </wp:positionV>
                      <wp:extent cx="2219325" cy="0"/>
                      <wp:effectExtent l="0" t="0" r="0" b="0"/>
                      <wp:wrapNone/>
                      <wp:docPr id="2133526147"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01B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5pt,1.5pt" to="22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" strokecolor="black [3213]" strokeweight=".5pt">
                      <v:stroke joinstyle="miter"/>
                    </v:line>
                  </w:pict>
                </mc:Fallback>
              </mc:AlternateContent>
            </w:r>
            <w:r w:rsidR="00DC1489" w:rsidRPr="00DC1489">
              <w:rPr>
                <w:i/>
                <w:iCs w:val="0"/>
                <w:sz w:val="26"/>
                <w:lang w:val="en-US"/>
              </w:rPr>
              <w:t xml:space="preserve">Quảng Ngãi, ngày </w:t>
            </w:r>
            <w:r w:rsidR="003F1FE8">
              <w:rPr>
                <w:i/>
                <w:iCs w:val="0"/>
                <w:sz w:val="26"/>
                <w:lang w:val="en-US"/>
              </w:rPr>
              <w:t xml:space="preserve">   </w:t>
            </w:r>
            <w:r w:rsidR="00DC1489" w:rsidRPr="00DC1489">
              <w:rPr>
                <w:i/>
                <w:iCs w:val="0"/>
                <w:sz w:val="26"/>
                <w:lang w:val="en-US"/>
              </w:rPr>
              <w:t xml:space="preserve"> tháng </w:t>
            </w:r>
            <w:r w:rsidR="003F1FE8">
              <w:rPr>
                <w:i/>
                <w:iCs w:val="0"/>
                <w:sz w:val="26"/>
                <w:lang w:val="en-US"/>
              </w:rPr>
              <w:t xml:space="preserve">    </w:t>
            </w:r>
            <w:r w:rsidR="00DC1489" w:rsidRPr="00DC1489">
              <w:rPr>
                <w:i/>
                <w:iCs w:val="0"/>
                <w:sz w:val="26"/>
                <w:lang w:val="en-US"/>
              </w:rPr>
              <w:t>năm 202</w:t>
            </w:r>
            <w:r w:rsidR="00221E7B">
              <w:rPr>
                <w:i/>
                <w:iCs w:val="0"/>
                <w:sz w:val="26"/>
                <w:lang w:val="en-US"/>
              </w:rPr>
              <w:t>6</w:t>
            </w:r>
          </w:p>
        </w:tc>
      </w:tr>
    </w:tbl>
    <w:p w14:paraId="23C51AC7" w14:textId="77777777" w:rsidR="00B43C36" w:rsidRPr="00C17DC0" w:rsidRDefault="00B43C36" w:rsidP="00C17DC0">
      <w:pPr>
        <w:spacing w:before="360" w:after="0" w:line="240" w:lineRule="auto"/>
        <w:jc w:val="center"/>
        <w:rPr>
          <w:b/>
          <w:bCs/>
          <w:lang w:val="en-US"/>
        </w:rPr>
      </w:pPr>
      <w:r w:rsidRPr="00C17DC0">
        <w:rPr>
          <w:b/>
          <w:bCs/>
          <w:lang w:val="en-US"/>
        </w:rPr>
        <w:t>BÁO CÁO</w:t>
      </w:r>
    </w:p>
    <w:p w14:paraId="1E43F974" w14:textId="77777777" w:rsidR="00011E3F" w:rsidRDefault="00011E3F" w:rsidP="00FF73E0">
      <w:pPr>
        <w:spacing w:after="0" w:line="240" w:lineRule="auto"/>
        <w:jc w:val="center"/>
        <w:rPr>
          <w:b/>
          <w:bCs/>
          <w:lang w:val="en-US"/>
        </w:rPr>
      </w:pPr>
      <w:r>
        <w:rPr>
          <w:b/>
          <w:bCs/>
          <w:lang w:val="en-US"/>
        </w:rPr>
        <w:t xml:space="preserve">Tổng kết </w:t>
      </w:r>
      <w:bookmarkStart w:id="0" w:name="_Hlk217574452"/>
      <w:r>
        <w:rPr>
          <w:b/>
          <w:bCs/>
          <w:lang w:val="en-US"/>
        </w:rPr>
        <w:t>việc thi hành pháp luật</w:t>
      </w:r>
      <w:r w:rsidR="004A7070" w:rsidRPr="00C17DC0">
        <w:rPr>
          <w:b/>
          <w:bCs/>
          <w:lang w:val="en-US"/>
        </w:rPr>
        <w:t xml:space="preserve"> </w:t>
      </w:r>
      <w:r w:rsidR="00CE7629" w:rsidRPr="00C17DC0">
        <w:rPr>
          <w:b/>
          <w:bCs/>
          <w:lang w:val="en-US"/>
        </w:rPr>
        <w:t xml:space="preserve">của </w:t>
      </w:r>
    </w:p>
    <w:p w14:paraId="20AFC347" w14:textId="451052C4" w:rsidR="00507148" w:rsidRPr="00FF73E0" w:rsidRDefault="00FF73E0" w:rsidP="00FF73E0">
      <w:pPr>
        <w:spacing w:after="0" w:line="240" w:lineRule="auto"/>
        <w:jc w:val="center"/>
        <w:rPr>
          <w:b/>
          <w:bCs/>
          <w:lang w:val="en-US"/>
        </w:rPr>
      </w:pPr>
      <w:r w:rsidRPr="00FF73E0">
        <w:rPr>
          <w:rFonts w:cs="Times New Roman"/>
          <w:b/>
          <w:bCs/>
          <w:szCs w:val="28"/>
        </w:rPr>
        <w:t xml:space="preserve">Nghị quyết </w:t>
      </w:r>
      <w:r w:rsidR="00A551A6">
        <w:rPr>
          <w:rFonts w:cs="Times New Roman"/>
          <w:b/>
          <w:bCs/>
          <w:szCs w:val="28"/>
          <w:lang w:val="en-US"/>
        </w:rPr>
        <w:t xml:space="preserve">Quy định </w:t>
      </w:r>
      <w:r w:rsidR="003F1FE8" w:rsidRPr="003F1FE8">
        <w:rPr>
          <w:rFonts w:cs="Times New Roman"/>
          <w:b/>
          <w:bCs/>
          <w:szCs w:val="28"/>
        </w:rPr>
        <w:t>về nội dung, mức chi hỗ trợ, mức tặng quà cho các đối tượng trên địa bàn tỉnh Quảng Ngãi</w:t>
      </w:r>
    </w:p>
    <w:bookmarkEnd w:id="0"/>
    <w:p w14:paraId="34F8312B" w14:textId="12F351F5" w:rsidR="00FF73E0" w:rsidRPr="00FF73E0" w:rsidRDefault="00FF73E0" w:rsidP="00D76BCD">
      <w:pPr>
        <w:spacing w:before="360" w:after="0" w:line="240" w:lineRule="auto"/>
        <w:ind w:firstLine="567"/>
        <w:rPr>
          <w:rFonts w:cs="Times New Roman"/>
          <w:szCs w:val="28"/>
          <w:lang w:val="en-US"/>
        </w:rPr>
      </w:pPr>
      <w:r w:rsidRPr="00FF73E0">
        <w:rPr>
          <w:b/>
          <w:bCs/>
          <w:noProof/>
          <w:lang w:val="en-US"/>
        </w:rPr>
        <mc:AlternateContent>
          <mc:Choice Requires="wps">
            <w:drawing>
              <wp:anchor distT="0" distB="0" distL="114300" distR="114300" simplePos="0" relativeHeight="251661312" behindDoc="0" locked="0" layoutInCell="1" allowOverlap="1" wp14:anchorId="0C54ABF6" wp14:editId="1799DB2C">
                <wp:simplePos x="0" y="0"/>
                <wp:positionH relativeFrom="column">
                  <wp:posOffset>2453640</wp:posOffset>
                </wp:positionH>
                <wp:positionV relativeFrom="paragraph">
                  <wp:posOffset>60288</wp:posOffset>
                </wp:positionV>
                <wp:extent cx="933450" cy="0"/>
                <wp:effectExtent l="0" t="0" r="0" b="0"/>
                <wp:wrapNone/>
                <wp:docPr id="195044255" name="Straight Connector 1"/>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8422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2pt,4.75pt" to="26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" strokecolor="black [3213]" strokeweight=".5pt">
                <v:stroke joinstyle="miter"/>
              </v:line>
            </w:pict>
          </mc:Fallback>
        </mc:AlternateContent>
      </w:r>
      <w:r>
        <w:rPr>
          <w:b/>
          <w:bCs/>
          <w:lang w:val="en-US"/>
        </w:rPr>
        <w:t xml:space="preserve">                           </w:t>
      </w:r>
      <w:r w:rsidRPr="00FF73E0">
        <w:rPr>
          <w:lang w:val="en-US"/>
        </w:rPr>
        <w:t>Kính gửi: Ủy ban nhân dân tỉnh</w:t>
      </w:r>
    </w:p>
    <w:p w14:paraId="39C6DC82" w14:textId="30830C66" w:rsidR="005F5733" w:rsidRPr="00D76BCD" w:rsidRDefault="005F5733" w:rsidP="00D76BCD">
      <w:pPr>
        <w:spacing w:before="360" w:after="0" w:line="240" w:lineRule="auto"/>
        <w:ind w:firstLine="567"/>
        <w:rPr>
          <w:rFonts w:cs="Times New Roman"/>
          <w:szCs w:val="28"/>
          <w:lang w:val="en-US"/>
        </w:rPr>
      </w:pPr>
      <w:r w:rsidRPr="00D76BCD">
        <w:rPr>
          <w:rFonts w:cs="Times New Roman"/>
          <w:szCs w:val="28"/>
          <w:lang w:val="en-US"/>
        </w:rPr>
        <w:t>Thực hiện quy định của Luật Ban hành văn bản quy phạm pháp luật số 87/2025/QH15 ngày 01/7/2025;</w:t>
      </w:r>
    </w:p>
    <w:p w14:paraId="01C1C80D" w14:textId="67006226" w:rsidR="005F5733" w:rsidRPr="00D76BCD" w:rsidRDefault="005F5733" w:rsidP="00BA6751">
      <w:pPr>
        <w:spacing w:before="120" w:after="0" w:line="240" w:lineRule="auto"/>
        <w:ind w:firstLine="567"/>
        <w:rPr>
          <w:rFonts w:cs="Times New Roman"/>
          <w:szCs w:val="28"/>
          <w:lang w:val="en-US"/>
        </w:rPr>
      </w:pPr>
      <w:r w:rsidRPr="00D76BCD">
        <w:rPr>
          <w:rFonts w:cs="Times New Roman"/>
          <w:szCs w:val="28"/>
          <w:lang w:val="en-US"/>
        </w:rPr>
        <w:t xml:space="preserve">Sở </w:t>
      </w:r>
      <w:r w:rsidR="003F1FE8">
        <w:rPr>
          <w:rFonts w:cs="Times New Roman"/>
          <w:szCs w:val="28"/>
          <w:lang w:val="en-US"/>
        </w:rPr>
        <w:t>Tài chính</w:t>
      </w:r>
      <w:r w:rsidRPr="00D76BCD">
        <w:rPr>
          <w:rFonts w:cs="Times New Roman"/>
          <w:szCs w:val="28"/>
          <w:lang w:val="en-US"/>
        </w:rPr>
        <w:t xml:space="preserve"> báo cáo </w:t>
      </w:r>
      <w:r w:rsidR="00011E3F">
        <w:rPr>
          <w:rFonts w:cs="Times New Roman"/>
          <w:szCs w:val="28"/>
          <w:lang w:val="en-US"/>
        </w:rPr>
        <w:t>tổng kết việc thi hành pháp luật</w:t>
      </w:r>
      <w:r w:rsidRPr="00D76BCD">
        <w:rPr>
          <w:rFonts w:cs="Times New Roman"/>
          <w:szCs w:val="28"/>
          <w:lang w:val="en-US"/>
        </w:rPr>
        <w:t xml:space="preserve"> của </w:t>
      </w:r>
      <w:r w:rsidR="003F1FE8" w:rsidRPr="003F1FE8">
        <w:rPr>
          <w:rFonts w:cs="Times New Roman"/>
          <w:szCs w:val="28"/>
        </w:rPr>
        <w:t>Nghị quyết về nội dung, mức chi hỗ trợ, mức tặng quà cho các đối tượng trên địa bàn tỉnh Quảng Ngãi</w:t>
      </w:r>
      <w:r w:rsidRPr="00D76BCD">
        <w:rPr>
          <w:rFonts w:cs="Times New Roman"/>
          <w:szCs w:val="28"/>
          <w:lang w:val="en-US"/>
        </w:rPr>
        <w:t xml:space="preserve"> với những nội dung cụ thể sau:</w:t>
      </w:r>
    </w:p>
    <w:p w14:paraId="78A38BAB" w14:textId="76E58536" w:rsidR="00011E3F" w:rsidRDefault="00011E3F" w:rsidP="00D76BCD">
      <w:pPr>
        <w:spacing w:before="120" w:after="0" w:line="240" w:lineRule="auto"/>
        <w:ind w:firstLine="567"/>
        <w:rPr>
          <w:rFonts w:cs="Times New Roman"/>
          <w:b/>
          <w:bCs/>
          <w:szCs w:val="28"/>
          <w:lang w:val="en-US"/>
        </w:rPr>
      </w:pPr>
      <w:r>
        <w:rPr>
          <w:rFonts w:cs="Times New Roman"/>
          <w:b/>
          <w:bCs/>
          <w:szCs w:val="28"/>
          <w:lang w:val="en-US"/>
        </w:rPr>
        <w:t>I. BỐI CẢNH THỰC HIỆN TỔNG KẾT</w:t>
      </w:r>
    </w:p>
    <w:p w14:paraId="1BDCAFA8" w14:textId="785D3AE6" w:rsidR="00011E3F" w:rsidRDefault="00011E3F" w:rsidP="00D76BCD">
      <w:pPr>
        <w:spacing w:before="120" w:after="0" w:line="240" w:lineRule="auto"/>
        <w:ind w:firstLine="567"/>
        <w:rPr>
          <w:rFonts w:cs="Times New Roman"/>
          <w:b/>
          <w:bCs/>
          <w:szCs w:val="28"/>
          <w:lang w:val="en-US"/>
        </w:rPr>
      </w:pPr>
      <w:r>
        <w:rPr>
          <w:rFonts w:cs="Times New Roman"/>
          <w:b/>
          <w:bCs/>
          <w:szCs w:val="28"/>
          <w:lang w:val="en-US"/>
        </w:rPr>
        <w:t>1. Bối cảnh liên quan đến chính sách:</w:t>
      </w:r>
    </w:p>
    <w:p w14:paraId="1C0C7EFA" w14:textId="77777777" w:rsidR="00D349A4" w:rsidRPr="000F2C65" w:rsidRDefault="00D349A4" w:rsidP="00D349A4">
      <w:pPr>
        <w:spacing w:before="120" w:after="0" w:line="240" w:lineRule="auto"/>
        <w:ind w:firstLine="567"/>
        <w:rPr>
          <w:szCs w:val="28"/>
        </w:rPr>
      </w:pPr>
      <w:r w:rsidRPr="000F2C65">
        <w:rPr>
          <w:szCs w:val="28"/>
        </w:rPr>
        <w:t>Thực hiện ý kiến chỉ đạo của Thường trực Tỉnh ủy Kon Tum (cũ) tại Thông báo số 950-TB/TU ngày 19/02/2024, Sở Tài chính tỉnh Kon Tum (cũ) đã tham mưu UBND tỉnh Kon Tum (cũ) trình HĐND tỉnh Kon Tum (cũ) ban hành Nghị quyết số 98/2024/NQ-HĐND ngày 09 tháng 12 năm 2024 quy định về nội dung, mức chi hỗ trợ, mức tặng quà cho các đối tượng trên địa bàn tỉnh Kon Tum (cũ).</w:t>
      </w:r>
    </w:p>
    <w:p w14:paraId="267002CE" w14:textId="77777777" w:rsidR="00D349A4" w:rsidRPr="000F2C65" w:rsidRDefault="00D349A4" w:rsidP="00D349A4">
      <w:pPr>
        <w:spacing w:before="120" w:after="0" w:line="240" w:lineRule="auto"/>
        <w:ind w:firstLine="567"/>
        <w:rPr>
          <w:szCs w:val="28"/>
        </w:rPr>
      </w:pPr>
      <w:r w:rsidRPr="000F2C65">
        <w:rPr>
          <w:szCs w:val="28"/>
        </w:rPr>
        <w:t>Qua rà soát, tỉnh Quảng Ngãi (cũ) hàng năm đều hỗ trợ, tặng quà nhân dịp Tết Nguyên đán cho các đối tượng theo Kế hoạch, chủ trương của cấp có thẩm quyền nhưng chưa ban hành chính sách nêu trên trên. Đây là chính sách đặc thù của tỉnh Kon Tum cũ (</w:t>
      </w:r>
      <w:r w:rsidRPr="000F2C65">
        <w:rPr>
          <w:i/>
          <w:szCs w:val="28"/>
        </w:rPr>
        <w:t>Trung ương chưa ban hành quy định có liên quan</w:t>
      </w:r>
      <w:r w:rsidRPr="000F2C65">
        <w:rPr>
          <w:szCs w:val="28"/>
        </w:rPr>
        <w:t>), HĐND tỉnh Kon Tum (cũ) ban hành theo thẩm quyền quy định tại điểm h Khoản 9 Điều 30 Luật Ngân sách nhà nước năm 2015.</w:t>
      </w:r>
    </w:p>
    <w:p w14:paraId="32286557" w14:textId="77777777" w:rsidR="00D349A4" w:rsidRPr="00D76BCD" w:rsidRDefault="00D349A4" w:rsidP="00D349A4">
      <w:pPr>
        <w:spacing w:before="120" w:after="0" w:line="240" w:lineRule="auto"/>
        <w:ind w:firstLine="567"/>
        <w:rPr>
          <w:rFonts w:cs="Times New Roman"/>
          <w:szCs w:val="28"/>
          <w:lang w:val="en-US"/>
        </w:rPr>
      </w:pPr>
      <w:r>
        <w:rPr>
          <w:rFonts w:cs="Times New Roman"/>
          <w:szCs w:val="28"/>
          <w:lang w:val="en-US"/>
        </w:rPr>
        <w:t>T</w:t>
      </w:r>
      <w:r w:rsidRPr="00D76BCD">
        <w:rPr>
          <w:rFonts w:cs="Times New Roman"/>
          <w:szCs w:val="28"/>
          <w:lang w:val="en-US"/>
        </w:rPr>
        <w:t>hực hiện chủ trương của Bộ Chính trị, Ban Bí thư về tinh gọn bộ máy, sắp xếp đơn vị hành chính, vận hành mô hình chính quyền địa phương hai cấp, từ ngày 01 tháng 7 năm 2025</w:t>
      </w:r>
      <w:r>
        <w:rPr>
          <w:rFonts w:cs="Times New Roman"/>
          <w:szCs w:val="28"/>
          <w:lang w:val="en-US"/>
        </w:rPr>
        <w:t xml:space="preserve">, </w:t>
      </w:r>
      <w:r w:rsidRPr="00D76BCD">
        <w:rPr>
          <w:rFonts w:cs="Times New Roman"/>
          <w:szCs w:val="28"/>
          <w:lang w:val="en-US"/>
        </w:rPr>
        <w:t xml:space="preserve">tỉnh Quảng Ngãi </w:t>
      </w:r>
      <w:r w:rsidRPr="00D76BCD">
        <w:rPr>
          <w:rFonts w:cs="Times New Roman"/>
          <w:i/>
          <w:iCs w:val="0"/>
          <w:szCs w:val="28"/>
          <w:lang w:val="en-US"/>
        </w:rPr>
        <w:t xml:space="preserve">(cũ) </w:t>
      </w:r>
      <w:r w:rsidRPr="00D76BCD">
        <w:rPr>
          <w:rFonts w:cs="Times New Roman"/>
          <w:szCs w:val="28"/>
          <w:lang w:val="en-US"/>
        </w:rPr>
        <w:t xml:space="preserve">và tỉnh Kon Tum </w:t>
      </w:r>
      <w:r w:rsidRPr="00D76BCD">
        <w:rPr>
          <w:rFonts w:cs="Times New Roman"/>
          <w:i/>
          <w:iCs w:val="0"/>
          <w:szCs w:val="28"/>
          <w:lang w:val="en-US"/>
        </w:rPr>
        <w:t xml:space="preserve">(cũ) </w:t>
      </w:r>
      <w:r w:rsidRPr="00D76BCD">
        <w:rPr>
          <w:rFonts w:cs="Times New Roman"/>
          <w:szCs w:val="28"/>
          <w:lang w:val="en-US"/>
        </w:rPr>
        <w:t>chính thức hợp nhất thành một đơn vị hành chính mới, lấy tên gọi là tỉnh Quảng Ngãi tại Nghị quyết số 202/2025/QH15.</w:t>
      </w:r>
    </w:p>
    <w:p w14:paraId="52C47F8A" w14:textId="77777777" w:rsidR="00D349A4" w:rsidRPr="000F2C65" w:rsidRDefault="00D349A4" w:rsidP="00D349A4">
      <w:pPr>
        <w:spacing w:before="120" w:after="0" w:line="240" w:lineRule="auto"/>
        <w:ind w:firstLine="567"/>
        <w:rPr>
          <w:szCs w:val="28"/>
        </w:rPr>
      </w:pPr>
      <w:r w:rsidRPr="000F2C65">
        <w:rPr>
          <w:szCs w:val="28"/>
        </w:rPr>
        <w:t>Căn cứ quy định tại điểm d Khoản 2 Điều 54 Luật Ban hành văn bản quy phạm pháp luật năm 2025 (được sửa đổi bởi Khoản 20 Điều 1 Luật Ban hành văn bản quy phạm pháp luật sửa đổi 2025 có hiệu lực từ ngày 01/07/2025): “</w:t>
      </w:r>
      <w:r w:rsidRPr="000F2C65">
        <w:rPr>
          <w:i/>
          <w:szCs w:val="28"/>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r w:rsidRPr="000F2C65">
        <w:rPr>
          <w:szCs w:val="28"/>
        </w:rPr>
        <w:t xml:space="preserve">.”. Hiện nay Nghị </w:t>
      </w:r>
      <w:r w:rsidRPr="000F2C65">
        <w:rPr>
          <w:szCs w:val="28"/>
        </w:rPr>
        <w:lastRenderedPageBreak/>
        <w:t xml:space="preserve">quyết số 98/2024/NQ-HĐND ngày 09 tháng 12 năm 2024 vẫn đang được áp dụng trong phạm vi địa bàn tỉnh Kon Tum (cũ). </w:t>
      </w:r>
    </w:p>
    <w:p w14:paraId="209F3E1C" w14:textId="7F058C6C" w:rsidR="00D349A4" w:rsidRDefault="00D349A4" w:rsidP="00D349A4">
      <w:pPr>
        <w:spacing w:before="120" w:after="0" w:line="240" w:lineRule="auto"/>
        <w:ind w:firstLine="567"/>
        <w:rPr>
          <w:szCs w:val="28"/>
          <w:lang w:val="en-US"/>
        </w:rPr>
      </w:pPr>
      <w:r w:rsidRPr="00D349A4">
        <w:rPr>
          <w:b/>
          <w:bCs/>
          <w:szCs w:val="28"/>
          <w:lang w:val="en-US"/>
        </w:rPr>
        <w:t xml:space="preserve">2. </w:t>
      </w:r>
      <w:r w:rsidRPr="00D349A4">
        <w:rPr>
          <w:b/>
          <w:bCs/>
          <w:szCs w:val="28"/>
          <w:lang w:val="en"/>
        </w:rPr>
        <w:t>Quá trình th</w:t>
      </w:r>
      <w:r w:rsidRPr="00D349A4">
        <w:rPr>
          <w:b/>
          <w:bCs/>
          <w:szCs w:val="28"/>
        </w:rPr>
        <w:t>ực hiện tổng kết</w:t>
      </w:r>
    </w:p>
    <w:p w14:paraId="575DAF2B" w14:textId="316C3E50" w:rsidR="00D349A4" w:rsidRDefault="00D349A4" w:rsidP="00D349A4">
      <w:pPr>
        <w:spacing w:before="120" w:after="0" w:line="240" w:lineRule="auto"/>
        <w:ind w:firstLine="567"/>
        <w:rPr>
          <w:szCs w:val="28"/>
        </w:rPr>
      </w:pPr>
      <w:r w:rsidRPr="005253BD">
        <w:rPr>
          <w:szCs w:val="28"/>
        </w:rPr>
        <w:t xml:space="preserve">Thực hiện Thông báo số 56-TB/VPTU ngày 08/12/2025 của Văn phòng Tỉnh ủy về chủ trương, xây dựng chính sách hỗ trợ, tặng quà cho các đối tượng trên địa bàn tỉnh. Trong đó, </w:t>
      </w:r>
      <w:r w:rsidRPr="001D5A75">
        <w:rPr>
          <w:i/>
          <w:szCs w:val="28"/>
        </w:rPr>
        <w:t>thống nhất chủ trương xây dựng chính sách hỗ trợ, tặng quà cho các đối tượng trên địa bàn tỉnh như đề nghị của Ban Thường vụ Đảng ủy UBND tỉnh tại Tờ trình số 124-TTr/ĐU ngày 27/11/2025. Trong đó, lưu ý rà soát, không để trùng lặp đối tượng hưởng chính sách đã ban hành.</w:t>
      </w:r>
    </w:p>
    <w:p w14:paraId="6CB10344" w14:textId="630177B3" w:rsidR="00D349A4" w:rsidRDefault="00D349A4" w:rsidP="00D349A4">
      <w:pPr>
        <w:spacing w:before="120" w:after="0" w:line="240" w:lineRule="auto"/>
        <w:ind w:firstLine="567"/>
        <w:rPr>
          <w:szCs w:val="28"/>
          <w:lang w:val="en-US"/>
        </w:rPr>
      </w:pPr>
      <w:r>
        <w:rPr>
          <w:szCs w:val="28"/>
        </w:rPr>
        <w:t>Căn cứ các quy định và ý kiến chỉ đạo nêu trên</w:t>
      </w:r>
      <w:r w:rsidRPr="000F2C65">
        <w:rPr>
          <w:szCs w:val="28"/>
        </w:rPr>
        <w:t xml:space="preserve">, để phù hợp với mô hình chính quyền địa phương 02 cấp và áp dụng văn bản quy phạm pháp luật thống nhất trên địa bàn tỉnh Quảng Ngãi (mới) từ năm 2026, </w:t>
      </w:r>
      <w:r>
        <w:rPr>
          <w:szCs w:val="28"/>
          <w:lang w:val="en-US"/>
        </w:rPr>
        <w:t xml:space="preserve">Sở Tài chính đã đề nghị các cơ quan, đơn vị báo cáo tình hình thực hiện </w:t>
      </w:r>
      <w:r w:rsidRPr="00D349A4">
        <w:rPr>
          <w:szCs w:val="28"/>
          <w:lang w:val="en-US"/>
        </w:rPr>
        <w:t>Nghị quyết số 98/2024/NQ-HĐND ngày 09 tháng 12 năm 2024 của HĐND tỉnh Kon Tum cũ</w:t>
      </w:r>
      <w:r>
        <w:rPr>
          <w:szCs w:val="28"/>
          <w:lang w:val="en-US"/>
        </w:rPr>
        <w:t xml:space="preserve"> tại Công văn số 2398/STC-HCSN ngày 25/9/2025</w:t>
      </w:r>
      <w:r w:rsidR="00D401C4">
        <w:rPr>
          <w:szCs w:val="28"/>
          <w:lang w:val="en-US"/>
        </w:rPr>
        <w:t xml:space="preserve">, làm cơ sở để tham mưu UBND tỉnh trình HĐND tỉnh ban hành </w:t>
      </w:r>
      <w:r w:rsidR="00D401C4" w:rsidRPr="00D349A4">
        <w:rPr>
          <w:szCs w:val="28"/>
          <w:lang w:val="en-US"/>
        </w:rPr>
        <w:t>Nghị quyết Quy định về nội dung, mức chi hỗ trợ, mức tặng quà cho các đối tượng trên địa bàn tỉnh Quảng Ngãi</w:t>
      </w:r>
      <w:r>
        <w:rPr>
          <w:szCs w:val="28"/>
          <w:lang w:val="en-US"/>
        </w:rPr>
        <w:t xml:space="preserve">. </w:t>
      </w:r>
    </w:p>
    <w:p w14:paraId="1E9E7143" w14:textId="765B4570" w:rsidR="00011E3F" w:rsidRPr="00011E3F" w:rsidRDefault="00D349A4" w:rsidP="00D401C4">
      <w:pPr>
        <w:spacing w:before="120" w:after="0" w:line="240" w:lineRule="auto"/>
        <w:ind w:firstLine="567"/>
        <w:rPr>
          <w:rFonts w:cs="Times New Roman"/>
          <w:szCs w:val="28"/>
          <w:lang w:val="en-US"/>
        </w:rPr>
      </w:pPr>
      <w:r>
        <w:rPr>
          <w:szCs w:val="28"/>
          <w:lang w:val="en-US"/>
        </w:rPr>
        <w:t xml:space="preserve">Trên cơ sở báo cáo của các cơ quan, đơn vị, Sở Tài chính tổng kết </w:t>
      </w:r>
      <w:r w:rsidRPr="00D349A4">
        <w:rPr>
          <w:szCs w:val="28"/>
          <w:lang w:val="en-US"/>
        </w:rPr>
        <w:t>việc thi hành pháp luật của Nghị quyết Quy định về nội dung, mức chi hỗ trợ, mức tặng quà cho các đối tượng trên địa bàn tỉnh Quảng Ngãi</w:t>
      </w:r>
      <w:r w:rsidR="00D401C4">
        <w:rPr>
          <w:szCs w:val="28"/>
          <w:lang w:val="en-US"/>
        </w:rPr>
        <w:t xml:space="preserve"> theo quy định của Luật Ban hành văn bản quy phạm pháp luật.</w:t>
      </w:r>
    </w:p>
    <w:p w14:paraId="1585CD34" w14:textId="77777777" w:rsidR="00D401C4" w:rsidRP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II. K</w:t>
      </w:r>
      <w:r w:rsidRPr="00D401C4">
        <w:rPr>
          <w:rFonts w:cs="Times New Roman"/>
          <w:b/>
          <w:bCs/>
          <w:szCs w:val="28"/>
        </w:rPr>
        <w:t>ẾT QUẢ THỰC HIỆN</w:t>
      </w:r>
    </w:p>
    <w:p w14:paraId="491DF62B" w14:textId="77777777" w:rsidR="00D401C4" w:rsidRP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1. Công tác ch</w:t>
      </w:r>
      <w:r w:rsidRPr="00D401C4">
        <w:rPr>
          <w:rFonts w:cs="Times New Roman"/>
          <w:b/>
          <w:bCs/>
          <w:szCs w:val="28"/>
        </w:rPr>
        <w:t>ỉ đạo, triển khai v</w:t>
      </w:r>
      <w:r w:rsidRPr="00D401C4">
        <w:rPr>
          <w:rFonts w:cs="Times New Roman"/>
          <w:b/>
          <w:bCs/>
          <w:szCs w:val="28"/>
          <w:lang w:val="en-US"/>
        </w:rPr>
        <w:t>à t</w:t>
      </w:r>
      <w:r w:rsidRPr="00D401C4">
        <w:rPr>
          <w:rFonts w:cs="Times New Roman"/>
          <w:b/>
          <w:bCs/>
          <w:szCs w:val="28"/>
        </w:rPr>
        <w:t>ổ chức thi h</w:t>
      </w:r>
      <w:r w:rsidRPr="00D401C4">
        <w:rPr>
          <w:rFonts w:cs="Times New Roman"/>
          <w:b/>
          <w:bCs/>
          <w:szCs w:val="28"/>
          <w:lang w:val="en-US"/>
        </w:rPr>
        <w:t>ành văn b</w:t>
      </w:r>
      <w:r w:rsidRPr="00D401C4">
        <w:rPr>
          <w:rFonts w:cs="Times New Roman"/>
          <w:b/>
          <w:bCs/>
          <w:szCs w:val="28"/>
        </w:rPr>
        <w:t>ản quy phạm ph</w:t>
      </w:r>
      <w:r w:rsidRPr="00D401C4">
        <w:rPr>
          <w:rFonts w:cs="Times New Roman"/>
          <w:b/>
          <w:bCs/>
          <w:szCs w:val="28"/>
          <w:lang w:val="en-US"/>
        </w:rPr>
        <w:t>áp lu</w:t>
      </w:r>
      <w:r w:rsidRPr="00D401C4">
        <w:rPr>
          <w:rFonts w:cs="Times New Roman"/>
          <w:b/>
          <w:bCs/>
          <w:szCs w:val="28"/>
        </w:rPr>
        <w:t>ật</w:t>
      </w:r>
    </w:p>
    <w:p w14:paraId="6839FF17" w14:textId="5BB018CB" w:rsidR="00D401C4" w:rsidRPr="00D401C4" w:rsidRDefault="00D401C4" w:rsidP="00D401C4">
      <w:pPr>
        <w:spacing w:before="120" w:after="0" w:line="240" w:lineRule="auto"/>
        <w:ind w:firstLine="567"/>
        <w:rPr>
          <w:rFonts w:cs="Times New Roman"/>
          <w:szCs w:val="28"/>
          <w:lang w:val="en"/>
        </w:rPr>
      </w:pPr>
      <w:r w:rsidRPr="00D401C4">
        <w:rPr>
          <w:rFonts w:cs="Times New Roman"/>
          <w:szCs w:val="28"/>
        </w:rPr>
        <w:t>Công tác chỉ đạo, triển khai thi hành văn bản được thực hiện kịp thời, đúng thẩm quyền. Các cơ quan, đơn vị đã chủ động xây dựng kế hoạch, hướng dẫn thực hiện; tổ chức tuyên truyền, phổ biến nội dung văn bản đến các đối tượng liên quan, góp phần đưa chính sách vào cuộc sống.</w:t>
      </w:r>
    </w:p>
    <w:p w14:paraId="1D79A4E4" w14:textId="1310026E" w:rsid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2. K</w:t>
      </w:r>
      <w:r w:rsidRPr="00D401C4">
        <w:rPr>
          <w:rFonts w:cs="Times New Roman"/>
          <w:b/>
          <w:bCs/>
          <w:szCs w:val="28"/>
        </w:rPr>
        <w:t>ết quả thi h</w:t>
      </w:r>
      <w:r w:rsidRPr="00D401C4">
        <w:rPr>
          <w:rFonts w:cs="Times New Roman"/>
          <w:b/>
          <w:bCs/>
          <w:szCs w:val="28"/>
          <w:lang w:val="en-US"/>
        </w:rPr>
        <w:t>ành văn b</w:t>
      </w:r>
      <w:r w:rsidRPr="00D401C4">
        <w:rPr>
          <w:rFonts w:cs="Times New Roman"/>
          <w:b/>
          <w:bCs/>
          <w:szCs w:val="28"/>
        </w:rPr>
        <w:t>ản quy phạm ph</w:t>
      </w:r>
      <w:r w:rsidRPr="00D401C4">
        <w:rPr>
          <w:rFonts w:cs="Times New Roman"/>
          <w:b/>
          <w:bCs/>
          <w:szCs w:val="28"/>
          <w:lang w:val="en-US"/>
        </w:rPr>
        <w:t>áp lu</w:t>
      </w:r>
      <w:r w:rsidRPr="00D401C4">
        <w:rPr>
          <w:rFonts w:cs="Times New Roman"/>
          <w:b/>
          <w:bCs/>
          <w:szCs w:val="28"/>
        </w:rPr>
        <w:t>ật, đ</w:t>
      </w:r>
      <w:r w:rsidRPr="00D401C4">
        <w:rPr>
          <w:rFonts w:cs="Times New Roman"/>
          <w:b/>
          <w:bCs/>
          <w:szCs w:val="28"/>
          <w:lang w:val="en-US"/>
        </w:rPr>
        <w:t>ánh giá ưu điểm</w:t>
      </w:r>
      <w:r w:rsidRPr="00D401C4">
        <w:rPr>
          <w:rFonts w:cs="Times New Roman"/>
          <w:b/>
          <w:bCs/>
          <w:szCs w:val="28"/>
        </w:rPr>
        <w:t>, bất cập, hạn chế của văn bản quy phạm ph</w:t>
      </w:r>
      <w:r w:rsidRPr="00D401C4">
        <w:rPr>
          <w:rFonts w:cs="Times New Roman"/>
          <w:b/>
          <w:bCs/>
          <w:szCs w:val="28"/>
          <w:lang w:val="en-US"/>
        </w:rPr>
        <w:t>áp lu</w:t>
      </w:r>
      <w:r w:rsidRPr="00D401C4">
        <w:rPr>
          <w:rFonts w:cs="Times New Roman"/>
          <w:b/>
          <w:bCs/>
          <w:szCs w:val="28"/>
        </w:rPr>
        <w:t>ật</w:t>
      </w:r>
    </w:p>
    <w:p w14:paraId="3DA42A33" w14:textId="17AE2CA8" w:rsidR="00D401C4" w:rsidRDefault="00D401C4" w:rsidP="00D401C4">
      <w:pPr>
        <w:spacing w:before="120" w:after="0" w:line="240" w:lineRule="auto"/>
        <w:ind w:firstLine="567"/>
        <w:rPr>
          <w:rFonts w:cs="Times New Roman"/>
          <w:szCs w:val="28"/>
          <w:lang w:val="en-US"/>
        </w:rPr>
      </w:pPr>
      <w:r>
        <w:rPr>
          <w:rFonts w:cs="Times New Roman"/>
          <w:szCs w:val="28"/>
          <w:lang w:val="en-US"/>
        </w:rPr>
        <w:t xml:space="preserve">a) Kết quả thực hiện: </w:t>
      </w:r>
      <w:r w:rsidRPr="00D76BCD">
        <w:rPr>
          <w:rFonts w:cs="Times New Roman"/>
          <w:szCs w:val="28"/>
          <w:lang w:val="en-US"/>
        </w:rPr>
        <w:t xml:space="preserve">Kinh phí thực hiện </w:t>
      </w:r>
      <w:r w:rsidRPr="000F2C65">
        <w:rPr>
          <w:szCs w:val="28"/>
        </w:rPr>
        <w:t>Nghị quyết số 98/2024/NQ-HĐND ngày 09 tháng 12 năm 2024</w:t>
      </w:r>
      <w:r>
        <w:rPr>
          <w:szCs w:val="28"/>
          <w:lang w:val="en-US"/>
        </w:rPr>
        <w:t xml:space="preserve"> của HĐND tỉnh Kon Tum và kinh phí thực hiện theo Kế hoạch, chủ trương của cấp có thẩm quyền trên địa bàn tỉnh Quảng Ngãi (cũ) trong năm 2025 là: 25.879 triệu đồng (</w:t>
      </w:r>
      <w:r w:rsidRPr="004C1336">
        <w:rPr>
          <w:i/>
          <w:iCs w:val="0"/>
          <w:szCs w:val="28"/>
          <w:lang w:val="en-US"/>
        </w:rPr>
        <w:t xml:space="preserve">chưa bao gồm kinh phí thăm, chúc Tết </w:t>
      </w:r>
      <w:r w:rsidRPr="004C1336">
        <w:rPr>
          <w:i/>
          <w:iCs w:val="0"/>
          <w:szCs w:val="28"/>
          <w:lang w:val="pt-BR"/>
        </w:rPr>
        <w:t>các đơn vị thực hiện nhiệm vụ đặc thù, phục vụ nhân dân trong những ngày Tết Nguyên đán theo kế hoạch của cấp có thẩm quyền</w:t>
      </w:r>
      <w:r w:rsidRPr="004C1336">
        <w:rPr>
          <w:rStyle w:val="FootnoteReference"/>
          <w:i/>
          <w:iCs w:val="0"/>
          <w:szCs w:val="28"/>
          <w:lang w:val="pt-BR"/>
        </w:rPr>
        <w:footnoteReference w:id="1"/>
      </w:r>
      <w:r w:rsidRPr="004C1336">
        <w:rPr>
          <w:i/>
          <w:iCs w:val="0"/>
          <w:szCs w:val="28"/>
          <w:lang w:val="pt-BR"/>
        </w:rPr>
        <w:t xml:space="preserve"> đã quy định tại Nghị quyết số 98/2024/NQ-HĐND</w:t>
      </w:r>
      <w:r w:rsidRPr="004C1336">
        <w:rPr>
          <w:rStyle w:val="FootnoteReference"/>
          <w:i/>
          <w:iCs w:val="0"/>
          <w:szCs w:val="28"/>
          <w:lang w:val="pt-BR"/>
        </w:rPr>
        <w:footnoteReference w:id="2"/>
      </w:r>
      <w:r w:rsidRPr="004C1336">
        <w:rPr>
          <w:i/>
          <w:iCs w:val="0"/>
          <w:szCs w:val="28"/>
          <w:lang w:val="pt-BR"/>
        </w:rPr>
        <w:t>)</w:t>
      </w:r>
      <w:r>
        <w:rPr>
          <w:szCs w:val="28"/>
          <w:lang w:val="pt-BR"/>
        </w:rPr>
        <w:t>.</w:t>
      </w:r>
    </w:p>
    <w:p w14:paraId="0794540E" w14:textId="4A2FAEFB" w:rsidR="00D401C4" w:rsidRPr="00D401C4" w:rsidRDefault="00D401C4" w:rsidP="00D401C4">
      <w:pPr>
        <w:spacing w:before="120" w:after="0" w:line="240" w:lineRule="auto"/>
        <w:ind w:firstLine="567"/>
        <w:rPr>
          <w:rFonts w:cs="Times New Roman"/>
          <w:szCs w:val="28"/>
          <w:lang w:val="en-US"/>
        </w:rPr>
      </w:pPr>
      <w:r>
        <w:rPr>
          <w:rFonts w:cs="Times New Roman"/>
          <w:szCs w:val="28"/>
          <w:lang w:val="en-US"/>
        </w:rPr>
        <w:lastRenderedPageBreak/>
        <w:t xml:space="preserve">b) </w:t>
      </w:r>
      <w:r w:rsidRPr="00D401C4">
        <w:rPr>
          <w:rFonts w:cs="Times New Roman"/>
          <w:szCs w:val="28"/>
          <w:lang w:val="en-US"/>
        </w:rPr>
        <w:t>Ưu điểm</w:t>
      </w:r>
      <w:r>
        <w:rPr>
          <w:rFonts w:cs="Times New Roman"/>
          <w:szCs w:val="28"/>
          <w:lang w:val="en-US"/>
        </w:rPr>
        <w:t xml:space="preserve"> và </w:t>
      </w:r>
      <w:r w:rsidRPr="00D401C4">
        <w:rPr>
          <w:rFonts w:cs="Times New Roman"/>
          <w:szCs w:val="28"/>
          <w:lang w:val="en-US"/>
        </w:rPr>
        <w:t>Bất cập, hạn chế</w:t>
      </w:r>
      <w:r>
        <w:rPr>
          <w:rFonts w:cs="Times New Roman"/>
          <w:szCs w:val="28"/>
          <w:lang w:val="en-US"/>
        </w:rPr>
        <w:t>:</w:t>
      </w:r>
    </w:p>
    <w:p w14:paraId="60694FA9" w14:textId="5473D4E8" w:rsidR="00D401C4" w:rsidRPr="00D401C4" w:rsidRDefault="00D401C4" w:rsidP="00D401C4">
      <w:pPr>
        <w:spacing w:before="120" w:after="0" w:line="240" w:lineRule="auto"/>
        <w:ind w:firstLine="567"/>
        <w:rPr>
          <w:rFonts w:cs="Times New Roman"/>
          <w:szCs w:val="28"/>
          <w:lang w:val="en-US"/>
        </w:rPr>
      </w:pPr>
      <w:r>
        <w:rPr>
          <w:rFonts w:cs="Times New Roman"/>
          <w:szCs w:val="28"/>
          <w:lang w:val="en-US"/>
        </w:rPr>
        <w:t xml:space="preserve">- Ưu điểm: </w:t>
      </w:r>
      <w:r w:rsidRPr="00D401C4">
        <w:rPr>
          <w:rFonts w:cs="Times New Roman"/>
          <w:szCs w:val="28"/>
          <w:lang w:val="en-US"/>
        </w:rPr>
        <w:t>Văn bản quy phạm pháp luật đã cơ bản đáp ứng yêu cầu quản lý nhà nước, tạo cơ sở pháp lý để triển khai các chính sách hỗ trợ, bảo đảm an sinh xã hội; đối tượng thụ hưởng được xác định tương đối đầy đủ, rõ ràng.</w:t>
      </w:r>
    </w:p>
    <w:p w14:paraId="2499D1F1" w14:textId="74CEBEB0" w:rsidR="00D401C4" w:rsidRPr="00D401C4" w:rsidRDefault="00D401C4" w:rsidP="00D401C4">
      <w:pPr>
        <w:spacing w:before="120" w:after="0" w:line="240" w:lineRule="auto"/>
        <w:ind w:firstLine="567"/>
        <w:rPr>
          <w:rFonts w:cs="Times New Roman"/>
          <w:szCs w:val="28"/>
          <w:lang w:val="en-US"/>
        </w:rPr>
      </w:pPr>
      <w:r>
        <w:rPr>
          <w:rFonts w:cs="Times New Roman"/>
          <w:szCs w:val="28"/>
          <w:lang w:val="en-US"/>
        </w:rPr>
        <w:t xml:space="preserve">- </w:t>
      </w:r>
      <w:r w:rsidRPr="00D401C4">
        <w:rPr>
          <w:rFonts w:cs="Times New Roman"/>
          <w:szCs w:val="28"/>
          <w:lang w:val="en-US"/>
        </w:rPr>
        <w:t>Bất cập, hạn chế:</w:t>
      </w:r>
      <w:r>
        <w:rPr>
          <w:rFonts w:cs="Times New Roman"/>
          <w:szCs w:val="28"/>
          <w:lang w:val="en-US"/>
        </w:rPr>
        <w:t xml:space="preserve"> </w:t>
      </w:r>
      <w:r w:rsidRPr="00D401C4">
        <w:rPr>
          <w:rFonts w:cs="Times New Roman"/>
          <w:szCs w:val="28"/>
          <w:lang w:val="en-US"/>
        </w:rPr>
        <w:t>Một số quy định chưa theo kịp tình hình thực tiễn; mức hỗ trợ ở một số nội dung chưa đồng đều giữa các địa bàn; chưa bao quát hết một số nhóm đối tượng đặc thù mới phát sinh.</w:t>
      </w:r>
    </w:p>
    <w:p w14:paraId="5EB78D6D" w14:textId="77777777" w:rsid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3. Khó khăn, vư</w:t>
      </w:r>
      <w:r w:rsidRPr="00D401C4">
        <w:rPr>
          <w:rFonts w:cs="Times New Roman"/>
          <w:b/>
          <w:bCs/>
          <w:szCs w:val="28"/>
        </w:rPr>
        <w:t>ớng mắc v</w:t>
      </w:r>
      <w:r w:rsidRPr="00D401C4">
        <w:rPr>
          <w:rFonts w:cs="Times New Roman"/>
          <w:b/>
          <w:bCs/>
          <w:szCs w:val="28"/>
          <w:lang w:val="en-US"/>
        </w:rPr>
        <w:t>à nguyên nhân</w:t>
      </w:r>
    </w:p>
    <w:p w14:paraId="28AD0848" w14:textId="0F04D357" w:rsidR="00D401C4" w:rsidRPr="00D401C4" w:rsidRDefault="00D401C4" w:rsidP="00D401C4">
      <w:pPr>
        <w:spacing w:before="120" w:after="0" w:line="240" w:lineRule="auto"/>
        <w:ind w:firstLine="567"/>
        <w:rPr>
          <w:rFonts w:cs="Times New Roman"/>
          <w:szCs w:val="28"/>
          <w:lang w:val="en-US"/>
        </w:rPr>
      </w:pPr>
      <w:r w:rsidRPr="00D401C4">
        <w:rPr>
          <w:rFonts w:cs="Times New Roman"/>
          <w:szCs w:val="28"/>
          <w:lang w:val="en-US"/>
        </w:rPr>
        <w:t>Nguồn lực ngân sách còn hạn chế</w:t>
      </w:r>
      <w:r>
        <w:rPr>
          <w:rFonts w:cs="Times New Roman"/>
          <w:szCs w:val="28"/>
          <w:lang w:val="en-US"/>
        </w:rPr>
        <w:t xml:space="preserve"> nên chỉ ưu tiên ban hành chính sách đối với một vài nhóm đối tượng yếu thế</w:t>
      </w:r>
      <w:r w:rsidRPr="00D401C4">
        <w:rPr>
          <w:rFonts w:cs="Times New Roman"/>
          <w:szCs w:val="28"/>
          <w:lang w:val="en-US"/>
        </w:rPr>
        <w:t>.</w:t>
      </w:r>
    </w:p>
    <w:p w14:paraId="42B97D31" w14:textId="77777777" w:rsid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4. Xác đ</w:t>
      </w:r>
      <w:r w:rsidRPr="00D401C4">
        <w:rPr>
          <w:rFonts w:cs="Times New Roman"/>
          <w:b/>
          <w:bCs/>
          <w:szCs w:val="28"/>
        </w:rPr>
        <w:t>ịnh những vấn đề mới ph</w:t>
      </w:r>
      <w:r w:rsidRPr="00D401C4">
        <w:rPr>
          <w:rFonts w:cs="Times New Roman"/>
          <w:b/>
          <w:bCs/>
          <w:szCs w:val="28"/>
          <w:lang w:val="en-US"/>
        </w:rPr>
        <w:t>át sinh trong th</w:t>
      </w:r>
      <w:r w:rsidRPr="00D401C4">
        <w:rPr>
          <w:rFonts w:cs="Times New Roman"/>
          <w:b/>
          <w:bCs/>
          <w:szCs w:val="28"/>
        </w:rPr>
        <w:t>ực tiễn</w:t>
      </w:r>
    </w:p>
    <w:p w14:paraId="7B6955E5" w14:textId="77777777" w:rsidR="00D401C4" w:rsidRPr="00D76BCD" w:rsidRDefault="00D401C4" w:rsidP="00D401C4">
      <w:pPr>
        <w:spacing w:before="120" w:after="0" w:line="240" w:lineRule="auto"/>
        <w:ind w:firstLine="567"/>
        <w:rPr>
          <w:rFonts w:cs="Times New Roman"/>
          <w:szCs w:val="28"/>
          <w:lang w:val="en-US"/>
        </w:rPr>
      </w:pPr>
      <w:r>
        <w:rPr>
          <w:rFonts w:cs="Times New Roman"/>
          <w:szCs w:val="28"/>
          <w:lang w:val="en-US"/>
        </w:rPr>
        <w:t>T</w:t>
      </w:r>
      <w:r w:rsidRPr="00D76BCD">
        <w:rPr>
          <w:rFonts w:cs="Times New Roman"/>
          <w:szCs w:val="28"/>
          <w:lang w:val="en-US"/>
        </w:rPr>
        <w:t>hực hiện chủ trương của Bộ Chính trị, Ban Bí thư về tinh gọn bộ máy, sắp xếp đơn vị hành chính, vận hành mô hình chính quyền địa phương hai cấp, từ ngày 01 tháng 7 năm 2025</w:t>
      </w:r>
      <w:r>
        <w:rPr>
          <w:rFonts w:cs="Times New Roman"/>
          <w:szCs w:val="28"/>
          <w:lang w:val="en-US"/>
        </w:rPr>
        <w:t xml:space="preserve">, </w:t>
      </w:r>
      <w:r w:rsidRPr="00D76BCD">
        <w:rPr>
          <w:rFonts w:cs="Times New Roman"/>
          <w:szCs w:val="28"/>
          <w:lang w:val="en-US"/>
        </w:rPr>
        <w:t xml:space="preserve">tỉnh Quảng Ngãi </w:t>
      </w:r>
      <w:r w:rsidRPr="00D76BCD">
        <w:rPr>
          <w:rFonts w:cs="Times New Roman"/>
          <w:i/>
          <w:iCs w:val="0"/>
          <w:szCs w:val="28"/>
          <w:lang w:val="en-US"/>
        </w:rPr>
        <w:t xml:space="preserve">(cũ) </w:t>
      </w:r>
      <w:r w:rsidRPr="00D76BCD">
        <w:rPr>
          <w:rFonts w:cs="Times New Roman"/>
          <w:szCs w:val="28"/>
          <w:lang w:val="en-US"/>
        </w:rPr>
        <w:t xml:space="preserve">và tỉnh Kon Tum </w:t>
      </w:r>
      <w:r w:rsidRPr="00D76BCD">
        <w:rPr>
          <w:rFonts w:cs="Times New Roman"/>
          <w:i/>
          <w:iCs w:val="0"/>
          <w:szCs w:val="28"/>
          <w:lang w:val="en-US"/>
        </w:rPr>
        <w:t xml:space="preserve">(cũ) </w:t>
      </w:r>
      <w:r w:rsidRPr="00D76BCD">
        <w:rPr>
          <w:rFonts w:cs="Times New Roman"/>
          <w:szCs w:val="28"/>
          <w:lang w:val="en-US"/>
        </w:rPr>
        <w:t>chính thức hợp nhất thành một đơn vị hành chính mới, lấy tên gọi là tỉnh Quảng Ngãi tại Nghị quyết số 202/2025/QH15.</w:t>
      </w:r>
    </w:p>
    <w:p w14:paraId="65D8293C" w14:textId="72A2CD26" w:rsidR="00D401C4" w:rsidRPr="00D401C4" w:rsidRDefault="00D401C4" w:rsidP="00D401C4">
      <w:pPr>
        <w:spacing w:before="120" w:after="0" w:line="240" w:lineRule="auto"/>
        <w:ind w:firstLine="567"/>
        <w:rPr>
          <w:rFonts w:cs="Times New Roman"/>
          <w:szCs w:val="28"/>
          <w:lang w:val="en-US"/>
        </w:rPr>
      </w:pPr>
      <w:r>
        <w:rPr>
          <w:rFonts w:cs="Times New Roman"/>
          <w:szCs w:val="28"/>
          <w:lang w:val="en-US"/>
        </w:rPr>
        <w:t xml:space="preserve">Theo đó, </w:t>
      </w:r>
      <w:r w:rsidRPr="000F2C65">
        <w:rPr>
          <w:szCs w:val="28"/>
        </w:rPr>
        <w:t>việc trình HĐND tỉnh ban hành Nghị quyết quy định về nội dung, mức chi hỗ trợ, mức tặng quà cho các đối tượng trên địa bàn tỉnh Quảng Ngãi (</w:t>
      </w:r>
      <w:r w:rsidRPr="00A551A6">
        <w:rPr>
          <w:i/>
          <w:iCs w:val="0"/>
          <w:szCs w:val="28"/>
        </w:rPr>
        <w:t>thay thế Nghị quyết số 98/2024/NQ-HĐND ngày 09 tháng 12 năm 2024 của HĐND tỉnh Kon Tum cũ</w:t>
      </w:r>
      <w:r w:rsidRPr="000F2C65">
        <w:rPr>
          <w:szCs w:val="28"/>
        </w:rPr>
        <w:t xml:space="preserve">) là </w:t>
      </w:r>
      <w:r>
        <w:rPr>
          <w:szCs w:val="28"/>
          <w:lang w:val="en-US"/>
        </w:rPr>
        <w:t>cần thiết</w:t>
      </w:r>
      <w:r w:rsidRPr="00D401C4">
        <w:rPr>
          <w:szCs w:val="28"/>
        </w:rPr>
        <w:t xml:space="preserve"> </w:t>
      </w:r>
      <w:r w:rsidRPr="000F2C65">
        <w:rPr>
          <w:szCs w:val="28"/>
        </w:rPr>
        <w:t>để phù hợp với mô hình chính quyền địa phương 02 cấp và áp dụng văn bản quy phạm pháp luật thống nhất trên địa bàn tỉnh Quảng Ngãi (mới) từ năm 2026</w:t>
      </w:r>
    </w:p>
    <w:p w14:paraId="0942D087" w14:textId="77777777" w:rsidR="00D401C4" w:rsidRPr="00D401C4" w:rsidRDefault="00D401C4" w:rsidP="00D401C4">
      <w:pPr>
        <w:spacing w:before="120" w:after="0" w:line="240" w:lineRule="auto"/>
        <w:ind w:firstLine="567"/>
        <w:rPr>
          <w:rFonts w:cs="Times New Roman"/>
          <w:b/>
          <w:bCs/>
          <w:szCs w:val="28"/>
          <w:lang w:val="en-US"/>
        </w:rPr>
      </w:pPr>
      <w:r w:rsidRPr="00D401C4">
        <w:rPr>
          <w:rFonts w:cs="Times New Roman"/>
          <w:b/>
          <w:bCs/>
          <w:szCs w:val="28"/>
          <w:lang w:val="en"/>
        </w:rPr>
        <w:t>III. Đ</w:t>
      </w:r>
      <w:r w:rsidRPr="00D401C4">
        <w:rPr>
          <w:rFonts w:cs="Times New Roman"/>
          <w:b/>
          <w:bCs/>
          <w:szCs w:val="28"/>
        </w:rPr>
        <w:t>Ề XUẤT, KIẾN NGHỊ</w:t>
      </w:r>
    </w:p>
    <w:p w14:paraId="37F75F3B" w14:textId="2AF50478" w:rsidR="00481265" w:rsidRDefault="0044583B" w:rsidP="00BA6751">
      <w:pPr>
        <w:spacing w:before="120" w:after="0" w:line="240" w:lineRule="auto"/>
        <w:ind w:firstLine="567"/>
        <w:rPr>
          <w:rFonts w:cs="Times New Roman"/>
          <w:szCs w:val="28"/>
          <w:lang w:val="en-US"/>
        </w:rPr>
      </w:pPr>
      <w:r w:rsidRPr="00D76BCD">
        <w:rPr>
          <w:rFonts w:cs="Times New Roman"/>
          <w:szCs w:val="28"/>
        </w:rPr>
        <w:t xml:space="preserve">Qua việc </w:t>
      </w:r>
      <w:r w:rsidR="00BF5FA4">
        <w:rPr>
          <w:rFonts w:cs="Times New Roman"/>
          <w:szCs w:val="28"/>
          <w:lang w:val="en-US"/>
        </w:rPr>
        <w:t>đánh giá, báo cáo tổng kết việc thi hành văn bản nêu trên</w:t>
      </w:r>
      <w:r w:rsidRPr="00D76BCD">
        <w:rPr>
          <w:rFonts w:cs="Times New Roman"/>
          <w:szCs w:val="28"/>
        </w:rPr>
        <w:t xml:space="preserve">, Sở </w:t>
      </w:r>
      <w:r>
        <w:rPr>
          <w:rFonts w:cs="Times New Roman"/>
          <w:szCs w:val="28"/>
          <w:lang w:val="en-US"/>
        </w:rPr>
        <w:t>Tài chính</w:t>
      </w:r>
      <w:r w:rsidRPr="00D76BCD">
        <w:rPr>
          <w:rFonts w:cs="Times New Roman"/>
          <w:szCs w:val="28"/>
          <w:lang w:val="en-US"/>
        </w:rPr>
        <w:t xml:space="preserve"> </w:t>
      </w:r>
      <w:r w:rsidRPr="00D76BCD">
        <w:rPr>
          <w:rFonts w:cs="Times New Roman"/>
          <w:szCs w:val="28"/>
        </w:rPr>
        <w:t xml:space="preserve">kính đề nghị </w:t>
      </w:r>
      <w:r w:rsidRPr="00D76BCD">
        <w:rPr>
          <w:rFonts w:cs="Times New Roman"/>
          <w:szCs w:val="28"/>
          <w:lang w:val="en-US"/>
        </w:rPr>
        <w:t>UBND tỉnh</w:t>
      </w:r>
      <w:r w:rsidRPr="00D76BCD">
        <w:rPr>
          <w:rFonts w:cs="Times New Roman"/>
          <w:szCs w:val="28"/>
        </w:rPr>
        <w:t xml:space="preserve"> trình </w:t>
      </w:r>
      <w:r w:rsidRPr="00D76BCD">
        <w:rPr>
          <w:rFonts w:cs="Times New Roman"/>
          <w:szCs w:val="28"/>
          <w:lang w:val="en-US"/>
        </w:rPr>
        <w:t>HĐND tỉnh</w:t>
      </w:r>
      <w:r w:rsidRPr="00D76BCD">
        <w:rPr>
          <w:rFonts w:cs="Times New Roman"/>
          <w:szCs w:val="28"/>
        </w:rPr>
        <w:t xml:space="preserve"> ban hành</w:t>
      </w:r>
      <w:r w:rsidRPr="0044583B">
        <w:t xml:space="preserve"> </w:t>
      </w:r>
      <w:r w:rsidRPr="0044583B">
        <w:rPr>
          <w:rFonts w:cs="Times New Roman"/>
          <w:szCs w:val="28"/>
        </w:rPr>
        <w:t xml:space="preserve">Nghị quyết Quy định về nội dung, mức chi hỗ trợ, mức tặng quà cho các đối tượng trên địa bàn tỉnh Quảng Ngãi </w:t>
      </w:r>
      <w:r w:rsidRPr="00D76BCD">
        <w:rPr>
          <w:rFonts w:cs="Times New Roman"/>
          <w:szCs w:val="28"/>
        </w:rPr>
        <w:t>để đảm bảo đầy đủ pháp lý thực hiện theo quy định.</w:t>
      </w:r>
    </w:p>
    <w:p w14:paraId="79C5D77F" w14:textId="14B92CD0" w:rsidR="002E2C49" w:rsidRPr="00D76BCD" w:rsidRDefault="005E4D96" w:rsidP="00D76BCD">
      <w:pPr>
        <w:spacing w:before="120" w:after="120" w:line="240" w:lineRule="auto"/>
        <w:ind w:firstLine="567"/>
        <w:rPr>
          <w:rFonts w:cs="Times New Roman"/>
          <w:szCs w:val="28"/>
        </w:rPr>
      </w:pPr>
      <w:r w:rsidRPr="00D76BCD">
        <w:rPr>
          <w:rFonts w:cs="Times New Roman"/>
          <w:szCs w:val="28"/>
          <w:lang w:val="en-US"/>
        </w:rPr>
        <w:t xml:space="preserve">Sở </w:t>
      </w:r>
      <w:r w:rsidR="00326547">
        <w:rPr>
          <w:rFonts w:cs="Times New Roman"/>
          <w:szCs w:val="28"/>
          <w:lang w:val="en-US"/>
        </w:rPr>
        <w:t>Tài chính</w:t>
      </w:r>
      <w:r w:rsidRPr="00D76BCD">
        <w:rPr>
          <w:rFonts w:cs="Times New Roman"/>
          <w:szCs w:val="28"/>
          <w:lang w:val="en-US"/>
        </w:rPr>
        <w:t xml:space="preserve"> kính trình UBND tỉnh xem xét, báo cáo trình HĐND tỉnh cho ý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E4D96" w14:paraId="011DBA34" w14:textId="77777777" w:rsidTr="003D5CFF">
        <w:tc>
          <w:tcPr>
            <w:tcW w:w="4530" w:type="dxa"/>
          </w:tcPr>
          <w:p w14:paraId="35E91973" w14:textId="77777777" w:rsidR="005E4D96" w:rsidRPr="003D5CFF" w:rsidRDefault="005E4D96" w:rsidP="0084040C">
            <w:pPr>
              <w:spacing w:before="120"/>
              <w:rPr>
                <w:b/>
                <w:bCs/>
                <w:i/>
                <w:iCs w:val="0"/>
                <w:sz w:val="24"/>
                <w:szCs w:val="24"/>
                <w:lang w:val="en-US"/>
              </w:rPr>
            </w:pPr>
            <w:r w:rsidRPr="003D5CFF">
              <w:rPr>
                <w:b/>
                <w:bCs/>
                <w:i/>
                <w:iCs w:val="0"/>
                <w:sz w:val="24"/>
                <w:szCs w:val="24"/>
                <w:lang w:val="en-US"/>
              </w:rPr>
              <w:t>Nơi nhận:</w:t>
            </w:r>
          </w:p>
          <w:p w14:paraId="4A82236C" w14:textId="77777777" w:rsidR="005E4D96" w:rsidRPr="003D5CFF" w:rsidRDefault="005E4D96" w:rsidP="002E2C49">
            <w:pPr>
              <w:rPr>
                <w:sz w:val="22"/>
                <w:szCs w:val="22"/>
                <w:lang w:val="en-US"/>
              </w:rPr>
            </w:pPr>
            <w:r w:rsidRPr="003D5CFF">
              <w:rPr>
                <w:sz w:val="22"/>
                <w:szCs w:val="22"/>
                <w:lang w:val="en-US"/>
              </w:rPr>
              <w:t xml:space="preserve">- </w:t>
            </w:r>
            <w:r w:rsidR="001B0AB0" w:rsidRPr="003D5CFF">
              <w:rPr>
                <w:sz w:val="22"/>
                <w:szCs w:val="22"/>
                <w:lang w:val="en-US"/>
              </w:rPr>
              <w:t>Như trên;</w:t>
            </w:r>
          </w:p>
          <w:p w14:paraId="7D95CD7B" w14:textId="77777777" w:rsidR="001B0AB0" w:rsidRPr="003D5CFF" w:rsidRDefault="001B0AB0" w:rsidP="002E2C49">
            <w:pPr>
              <w:rPr>
                <w:sz w:val="22"/>
                <w:szCs w:val="22"/>
                <w:lang w:val="en-US"/>
              </w:rPr>
            </w:pPr>
            <w:r w:rsidRPr="003D5CFF">
              <w:rPr>
                <w:sz w:val="22"/>
                <w:szCs w:val="22"/>
                <w:lang w:val="en-US"/>
              </w:rPr>
              <w:t>- Thường trực HĐND tỉnh;</w:t>
            </w:r>
          </w:p>
          <w:p w14:paraId="76F8F36C" w14:textId="77777777" w:rsidR="001B0AB0" w:rsidRPr="003D5CFF" w:rsidRDefault="001B0AB0" w:rsidP="002E2C49">
            <w:pPr>
              <w:rPr>
                <w:sz w:val="22"/>
                <w:szCs w:val="22"/>
                <w:lang w:val="en-US"/>
              </w:rPr>
            </w:pPr>
            <w:r w:rsidRPr="003D5CFF">
              <w:rPr>
                <w:sz w:val="22"/>
                <w:szCs w:val="22"/>
                <w:lang w:val="en-US"/>
              </w:rPr>
              <w:t>- CT, PCT UBND tỉnh;</w:t>
            </w:r>
          </w:p>
          <w:p w14:paraId="479F6D4C" w14:textId="78B40637" w:rsidR="001B0AB0" w:rsidRPr="003D5CFF" w:rsidRDefault="00326547" w:rsidP="002E2C49">
            <w:pPr>
              <w:rPr>
                <w:sz w:val="22"/>
                <w:szCs w:val="22"/>
                <w:lang w:val="en-US"/>
              </w:rPr>
            </w:pPr>
            <w:r>
              <w:rPr>
                <w:sz w:val="22"/>
                <w:szCs w:val="22"/>
                <w:lang w:val="en-US"/>
              </w:rPr>
              <w:t>- Ban Văn hóa Xã hội</w:t>
            </w:r>
            <w:r w:rsidR="001B0AB0" w:rsidRPr="003D5CFF">
              <w:rPr>
                <w:sz w:val="22"/>
                <w:szCs w:val="22"/>
                <w:lang w:val="en-US"/>
              </w:rPr>
              <w:t xml:space="preserve"> - HĐND tỉnh;</w:t>
            </w:r>
          </w:p>
          <w:p w14:paraId="4A30C836" w14:textId="77777777" w:rsidR="001B0AB0" w:rsidRPr="003D5CFF" w:rsidRDefault="001B0AB0" w:rsidP="002E2C49">
            <w:pPr>
              <w:rPr>
                <w:sz w:val="22"/>
                <w:szCs w:val="22"/>
                <w:lang w:val="en-US"/>
              </w:rPr>
            </w:pPr>
            <w:r w:rsidRPr="003D5CFF">
              <w:rPr>
                <w:sz w:val="22"/>
                <w:szCs w:val="22"/>
                <w:lang w:val="en-US"/>
              </w:rPr>
              <w:t>- Các Sở: Tài chính, Tư pháp;</w:t>
            </w:r>
          </w:p>
          <w:p w14:paraId="4C7DA405" w14:textId="77777777" w:rsidR="001B0AB0" w:rsidRPr="003D5CFF" w:rsidRDefault="001B0AB0" w:rsidP="002E2C49">
            <w:pPr>
              <w:rPr>
                <w:sz w:val="22"/>
                <w:szCs w:val="22"/>
                <w:lang w:val="en-US"/>
              </w:rPr>
            </w:pPr>
            <w:r w:rsidRPr="003D5CFF">
              <w:rPr>
                <w:sz w:val="22"/>
                <w:szCs w:val="22"/>
                <w:lang w:val="en-US"/>
              </w:rPr>
              <w:t>- VPUB: CVP, PCVP, KTTH;</w:t>
            </w:r>
          </w:p>
          <w:p w14:paraId="0B0A3CF2" w14:textId="6262E1C9" w:rsidR="001B0AB0" w:rsidRPr="003D5CFF" w:rsidRDefault="001B0AB0" w:rsidP="002E2C49">
            <w:pPr>
              <w:rPr>
                <w:sz w:val="22"/>
                <w:szCs w:val="22"/>
                <w:lang w:val="en-US"/>
              </w:rPr>
            </w:pPr>
            <w:r w:rsidRPr="003D5CFF">
              <w:rPr>
                <w:sz w:val="22"/>
                <w:szCs w:val="22"/>
                <w:lang w:val="en-US"/>
              </w:rPr>
              <w:t>- S</w:t>
            </w:r>
            <w:r w:rsidR="00326547">
              <w:rPr>
                <w:sz w:val="22"/>
                <w:szCs w:val="22"/>
                <w:lang w:val="en-US"/>
              </w:rPr>
              <w:t>TC</w:t>
            </w:r>
            <w:r w:rsidRPr="003D5CFF">
              <w:rPr>
                <w:sz w:val="22"/>
                <w:szCs w:val="22"/>
                <w:lang w:val="en-US"/>
              </w:rPr>
              <w:t xml:space="preserve">: Giám đốc, Phó Giám đốc </w:t>
            </w:r>
            <w:r w:rsidR="00326547">
              <w:rPr>
                <w:sz w:val="22"/>
                <w:szCs w:val="22"/>
                <w:lang w:val="en-US"/>
              </w:rPr>
              <w:t>PHT</w:t>
            </w:r>
            <w:r w:rsidRPr="003D5CFF">
              <w:rPr>
                <w:sz w:val="22"/>
                <w:szCs w:val="22"/>
                <w:lang w:val="en-US"/>
              </w:rPr>
              <w:t>;</w:t>
            </w:r>
          </w:p>
          <w:p w14:paraId="22D0BD53" w14:textId="1F0F7DFF" w:rsidR="001B0AB0" w:rsidRDefault="001B0AB0" w:rsidP="002E2C49">
            <w:pPr>
              <w:rPr>
                <w:lang w:val="en-US"/>
              </w:rPr>
            </w:pPr>
            <w:r w:rsidRPr="003D5CFF">
              <w:rPr>
                <w:sz w:val="22"/>
                <w:szCs w:val="22"/>
                <w:lang w:val="en-US"/>
              </w:rPr>
              <w:t xml:space="preserve">- Lưu: VT, </w:t>
            </w:r>
            <w:r w:rsidR="00326547">
              <w:rPr>
                <w:sz w:val="22"/>
                <w:szCs w:val="22"/>
                <w:lang w:val="en-US"/>
              </w:rPr>
              <w:t>HCSN</w:t>
            </w:r>
            <w:r w:rsidRPr="003D5CFF">
              <w:rPr>
                <w:sz w:val="22"/>
                <w:szCs w:val="22"/>
                <w:lang w:val="en-US"/>
              </w:rPr>
              <w:t>.</w:t>
            </w:r>
          </w:p>
        </w:tc>
        <w:tc>
          <w:tcPr>
            <w:tcW w:w="4531" w:type="dxa"/>
          </w:tcPr>
          <w:p w14:paraId="205BE61D" w14:textId="5495335F" w:rsidR="00DF102C" w:rsidRDefault="00DF102C" w:rsidP="00DF102C">
            <w:pPr>
              <w:spacing w:before="120"/>
              <w:jc w:val="center"/>
              <w:rPr>
                <w:b/>
                <w:bCs/>
                <w:lang w:val="en-US"/>
              </w:rPr>
            </w:pPr>
            <w:r>
              <w:rPr>
                <w:b/>
                <w:bCs/>
                <w:lang w:val="en-US"/>
              </w:rPr>
              <w:t>KT. GIÁM ĐỐC</w:t>
            </w:r>
          </w:p>
          <w:p w14:paraId="3CFBCF7A" w14:textId="1E81D93A" w:rsidR="005E4D96" w:rsidRPr="003D5CFF" w:rsidRDefault="00DF102C" w:rsidP="00DF102C">
            <w:pPr>
              <w:jc w:val="center"/>
              <w:rPr>
                <w:b/>
                <w:bCs/>
                <w:lang w:val="en-US"/>
              </w:rPr>
            </w:pPr>
            <w:r>
              <w:rPr>
                <w:b/>
                <w:bCs/>
                <w:lang w:val="en-US"/>
              </w:rPr>
              <w:t xml:space="preserve">PHÓ </w:t>
            </w:r>
            <w:r w:rsidR="001B0AB0" w:rsidRPr="003D5CFF">
              <w:rPr>
                <w:b/>
                <w:bCs/>
                <w:lang w:val="en-US"/>
              </w:rPr>
              <w:t>GIÁM ĐỐC</w:t>
            </w:r>
          </w:p>
          <w:p w14:paraId="70FCEA72" w14:textId="77777777" w:rsidR="001B0AB0" w:rsidRPr="003D5CFF" w:rsidRDefault="001B0AB0" w:rsidP="00DF102C">
            <w:pPr>
              <w:jc w:val="center"/>
              <w:rPr>
                <w:b/>
                <w:bCs/>
                <w:lang w:val="en-US"/>
              </w:rPr>
            </w:pPr>
          </w:p>
          <w:p w14:paraId="31BB1D2A" w14:textId="77777777" w:rsidR="001B0AB0" w:rsidRPr="003D5CFF" w:rsidRDefault="001B0AB0" w:rsidP="00DF102C">
            <w:pPr>
              <w:jc w:val="center"/>
              <w:rPr>
                <w:b/>
                <w:bCs/>
                <w:lang w:val="en-US"/>
              </w:rPr>
            </w:pPr>
          </w:p>
          <w:p w14:paraId="725A9093" w14:textId="77777777" w:rsidR="001B0AB0" w:rsidRDefault="001B0AB0" w:rsidP="00DF102C">
            <w:pPr>
              <w:jc w:val="center"/>
              <w:rPr>
                <w:b/>
                <w:bCs/>
                <w:lang w:val="en-US"/>
              </w:rPr>
            </w:pPr>
          </w:p>
          <w:p w14:paraId="251F5EC6" w14:textId="77777777" w:rsidR="00326547" w:rsidRPr="003D5CFF" w:rsidRDefault="00326547" w:rsidP="00DF102C">
            <w:pPr>
              <w:jc w:val="center"/>
              <w:rPr>
                <w:b/>
                <w:bCs/>
                <w:lang w:val="en-US"/>
              </w:rPr>
            </w:pPr>
          </w:p>
          <w:p w14:paraId="176939B6" w14:textId="77777777" w:rsidR="001B0AB0" w:rsidRPr="003D5CFF" w:rsidRDefault="001B0AB0" w:rsidP="00DF102C">
            <w:pPr>
              <w:jc w:val="center"/>
              <w:rPr>
                <w:b/>
                <w:bCs/>
                <w:lang w:val="en-US"/>
              </w:rPr>
            </w:pPr>
          </w:p>
          <w:p w14:paraId="3AD7BA95" w14:textId="4796E104" w:rsidR="001B0AB0" w:rsidRDefault="00326547" w:rsidP="00DF102C">
            <w:pPr>
              <w:jc w:val="center"/>
              <w:rPr>
                <w:lang w:val="en-US"/>
              </w:rPr>
            </w:pPr>
            <w:r>
              <w:rPr>
                <w:b/>
                <w:bCs/>
                <w:lang w:val="en-US"/>
              </w:rPr>
              <w:t>Phạm Hữu Thịnh</w:t>
            </w:r>
          </w:p>
        </w:tc>
      </w:tr>
    </w:tbl>
    <w:p w14:paraId="6C7D08B9" w14:textId="77777777" w:rsidR="005E4D96" w:rsidRPr="005E4D96" w:rsidRDefault="005E4D96" w:rsidP="00BF5FA4">
      <w:pPr>
        <w:spacing w:after="0" w:line="240" w:lineRule="auto"/>
        <w:rPr>
          <w:lang w:val="en-US"/>
        </w:rPr>
      </w:pPr>
    </w:p>
    <w:sectPr w:rsidR="005E4D96" w:rsidRPr="005E4D96" w:rsidSect="00BF5FA4">
      <w:headerReference w:type="default" r:id="rId8"/>
      <w:pgSz w:w="11906" w:h="16838" w:code="9"/>
      <w:pgMar w:top="1134" w:right="1134" w:bottom="96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1D66" w14:textId="77777777" w:rsidR="00ED791F" w:rsidRDefault="00ED791F" w:rsidP="0084040C">
      <w:pPr>
        <w:spacing w:after="0" w:line="240" w:lineRule="auto"/>
      </w:pPr>
      <w:r>
        <w:separator/>
      </w:r>
    </w:p>
  </w:endnote>
  <w:endnote w:type="continuationSeparator" w:id="0">
    <w:p w14:paraId="380ED739" w14:textId="77777777" w:rsidR="00ED791F" w:rsidRDefault="00ED791F" w:rsidP="0084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4807" w14:textId="77777777" w:rsidR="00ED791F" w:rsidRDefault="00ED791F" w:rsidP="0084040C">
      <w:pPr>
        <w:spacing w:after="0" w:line="240" w:lineRule="auto"/>
      </w:pPr>
      <w:r>
        <w:separator/>
      </w:r>
    </w:p>
  </w:footnote>
  <w:footnote w:type="continuationSeparator" w:id="0">
    <w:p w14:paraId="6B56E832" w14:textId="77777777" w:rsidR="00ED791F" w:rsidRDefault="00ED791F" w:rsidP="0084040C">
      <w:pPr>
        <w:spacing w:after="0" w:line="240" w:lineRule="auto"/>
      </w:pPr>
      <w:r>
        <w:continuationSeparator/>
      </w:r>
    </w:p>
  </w:footnote>
  <w:footnote w:id="1">
    <w:p w14:paraId="688CC5D2" w14:textId="77777777" w:rsidR="00D401C4" w:rsidRPr="004C1336" w:rsidRDefault="00D401C4" w:rsidP="00D401C4">
      <w:pPr>
        <w:pStyle w:val="FootnoteText"/>
        <w:rPr>
          <w:lang w:val="en-US"/>
        </w:rPr>
      </w:pPr>
      <w:r>
        <w:rPr>
          <w:rStyle w:val="FootnoteReference"/>
        </w:rPr>
        <w:footnoteRef/>
      </w:r>
      <w:r>
        <w:t xml:space="preserve"> </w:t>
      </w:r>
      <w:r>
        <w:rPr>
          <w:lang w:val="en-US"/>
        </w:rPr>
        <w:t xml:space="preserve">Gồm: </w:t>
      </w:r>
      <w:r w:rsidRPr="004C1336">
        <w:t>các đơn vị khối ngành công an, quân đội, bệnh viện, tổ chức tôn giáo, cơ sở trợ giúp xã hội, ...</w:t>
      </w:r>
    </w:p>
  </w:footnote>
  <w:footnote w:id="2">
    <w:p w14:paraId="7B8E060B" w14:textId="77777777" w:rsidR="00D401C4" w:rsidRPr="00D10085" w:rsidRDefault="00D401C4" w:rsidP="00D401C4">
      <w:pPr>
        <w:pStyle w:val="FootnoteText"/>
        <w:rPr>
          <w:lang w:val="en-US"/>
        </w:rPr>
      </w:pPr>
      <w:r>
        <w:rPr>
          <w:rStyle w:val="FootnoteReference"/>
        </w:rPr>
        <w:footnoteRef/>
      </w:r>
      <w:r>
        <w:t xml:space="preserve"> </w:t>
      </w:r>
      <w:r>
        <w:rPr>
          <w:lang w:val="en-US"/>
        </w:rPr>
        <w:t xml:space="preserve">Qua rà soát, </w:t>
      </w:r>
      <w:r w:rsidRPr="00D10085">
        <w:rPr>
          <w:lang w:val="en-US"/>
        </w:rPr>
        <w:t>nội dung này không mang quy tắc xử sự chung, có hiệu lực bắt buộc chung, được áp dụng đối với cơ quan, tổ chức, cá nhân, trong phạm vi toàn tỉnh theo quy định của Luật Ban hành văn bản quy phạm pháp luật số 64/2025/QH15. Do đó, Sở Tài chính không tiếp tục trình ban hành trong Nghị quyết, nội dung này sẽ triển khai thực hiện theo Kế hoạch thăm chúc Tết Nguyên đán hàng năm của cấp có thẩm quyền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606944"/>
      <w:docPartObj>
        <w:docPartGallery w:val="Page Numbers (Top of Page)"/>
        <w:docPartUnique/>
      </w:docPartObj>
    </w:sdtPr>
    <w:sdtEndPr>
      <w:rPr>
        <w:noProof/>
      </w:rPr>
    </w:sdtEndPr>
    <w:sdtContent>
      <w:p w14:paraId="66745C5D" w14:textId="77777777" w:rsidR="0084040C" w:rsidRDefault="008404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084CEE" w14:textId="77777777" w:rsidR="0084040C" w:rsidRDefault="0084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B3821"/>
    <w:multiLevelType w:val="multilevel"/>
    <w:tmpl w:val="08C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6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CF"/>
    <w:rsid w:val="000055AB"/>
    <w:rsid w:val="00011CEB"/>
    <w:rsid w:val="00011E3F"/>
    <w:rsid w:val="00022BD4"/>
    <w:rsid w:val="000403A5"/>
    <w:rsid w:val="000451E1"/>
    <w:rsid w:val="00045DDD"/>
    <w:rsid w:val="0005075C"/>
    <w:rsid w:val="000673F3"/>
    <w:rsid w:val="000736EB"/>
    <w:rsid w:val="00074E19"/>
    <w:rsid w:val="000817E0"/>
    <w:rsid w:val="000959F1"/>
    <w:rsid w:val="000A1453"/>
    <w:rsid w:val="000C650C"/>
    <w:rsid w:val="000E4353"/>
    <w:rsid w:val="0012052F"/>
    <w:rsid w:val="00124E14"/>
    <w:rsid w:val="00131EB1"/>
    <w:rsid w:val="0013433C"/>
    <w:rsid w:val="00144CFB"/>
    <w:rsid w:val="00184F6E"/>
    <w:rsid w:val="00192D33"/>
    <w:rsid w:val="00195959"/>
    <w:rsid w:val="001B0AB0"/>
    <w:rsid w:val="001B5FE3"/>
    <w:rsid w:val="001C1E59"/>
    <w:rsid w:val="001C59E2"/>
    <w:rsid w:val="001D4B10"/>
    <w:rsid w:val="001E6C37"/>
    <w:rsid w:val="00200FE4"/>
    <w:rsid w:val="00202D94"/>
    <w:rsid w:val="002063B8"/>
    <w:rsid w:val="00221E7B"/>
    <w:rsid w:val="00231003"/>
    <w:rsid w:val="002353A8"/>
    <w:rsid w:val="00252805"/>
    <w:rsid w:val="00253997"/>
    <w:rsid w:val="00254B83"/>
    <w:rsid w:val="00270CC8"/>
    <w:rsid w:val="0029441B"/>
    <w:rsid w:val="0029558F"/>
    <w:rsid w:val="002975DF"/>
    <w:rsid w:val="00297D2D"/>
    <w:rsid w:val="002A53FA"/>
    <w:rsid w:val="002B3E83"/>
    <w:rsid w:val="002E204F"/>
    <w:rsid w:val="002E2C49"/>
    <w:rsid w:val="002E2EA4"/>
    <w:rsid w:val="002E7B6F"/>
    <w:rsid w:val="002F071D"/>
    <w:rsid w:val="002F7529"/>
    <w:rsid w:val="0030704F"/>
    <w:rsid w:val="003104E5"/>
    <w:rsid w:val="00326547"/>
    <w:rsid w:val="003312F0"/>
    <w:rsid w:val="00331D83"/>
    <w:rsid w:val="00332B28"/>
    <w:rsid w:val="00334BB3"/>
    <w:rsid w:val="0034304D"/>
    <w:rsid w:val="0034356D"/>
    <w:rsid w:val="003653BE"/>
    <w:rsid w:val="0037558E"/>
    <w:rsid w:val="00377BFD"/>
    <w:rsid w:val="003846AC"/>
    <w:rsid w:val="0038725C"/>
    <w:rsid w:val="00390222"/>
    <w:rsid w:val="003A38D9"/>
    <w:rsid w:val="003B1CC2"/>
    <w:rsid w:val="003B3605"/>
    <w:rsid w:val="003C0AD0"/>
    <w:rsid w:val="003C0B80"/>
    <w:rsid w:val="003D3595"/>
    <w:rsid w:val="003D5CFF"/>
    <w:rsid w:val="003D6EDA"/>
    <w:rsid w:val="003E2E3C"/>
    <w:rsid w:val="003F1FE8"/>
    <w:rsid w:val="00402C8E"/>
    <w:rsid w:val="00406177"/>
    <w:rsid w:val="004205C7"/>
    <w:rsid w:val="00421C2A"/>
    <w:rsid w:val="00422C9C"/>
    <w:rsid w:val="0044583B"/>
    <w:rsid w:val="004528D6"/>
    <w:rsid w:val="00457185"/>
    <w:rsid w:val="00470FD8"/>
    <w:rsid w:val="0047620A"/>
    <w:rsid w:val="00481265"/>
    <w:rsid w:val="00482C34"/>
    <w:rsid w:val="0049402A"/>
    <w:rsid w:val="004A4DA3"/>
    <w:rsid w:val="004A7070"/>
    <w:rsid w:val="004C0B6A"/>
    <w:rsid w:val="004C1336"/>
    <w:rsid w:val="004D1035"/>
    <w:rsid w:val="004D1EED"/>
    <w:rsid w:val="004D2AEB"/>
    <w:rsid w:val="004D3294"/>
    <w:rsid w:val="004D5F8E"/>
    <w:rsid w:val="00507148"/>
    <w:rsid w:val="00521845"/>
    <w:rsid w:val="00525891"/>
    <w:rsid w:val="00546804"/>
    <w:rsid w:val="00553DD7"/>
    <w:rsid w:val="0055408A"/>
    <w:rsid w:val="00575B34"/>
    <w:rsid w:val="0058511F"/>
    <w:rsid w:val="00595188"/>
    <w:rsid w:val="005C5051"/>
    <w:rsid w:val="005E4D96"/>
    <w:rsid w:val="005F5733"/>
    <w:rsid w:val="0061595C"/>
    <w:rsid w:val="006162C3"/>
    <w:rsid w:val="0062200A"/>
    <w:rsid w:val="00624E3A"/>
    <w:rsid w:val="00632FBB"/>
    <w:rsid w:val="006411A1"/>
    <w:rsid w:val="00642FDA"/>
    <w:rsid w:val="00666024"/>
    <w:rsid w:val="006775D9"/>
    <w:rsid w:val="0068318D"/>
    <w:rsid w:val="00695167"/>
    <w:rsid w:val="006B6164"/>
    <w:rsid w:val="006C2749"/>
    <w:rsid w:val="006F28C8"/>
    <w:rsid w:val="00716058"/>
    <w:rsid w:val="00735403"/>
    <w:rsid w:val="007411F9"/>
    <w:rsid w:val="00746EDE"/>
    <w:rsid w:val="00767774"/>
    <w:rsid w:val="00767FF2"/>
    <w:rsid w:val="00785248"/>
    <w:rsid w:val="00793019"/>
    <w:rsid w:val="00795774"/>
    <w:rsid w:val="007A12A6"/>
    <w:rsid w:val="007A2BFF"/>
    <w:rsid w:val="007A419F"/>
    <w:rsid w:val="007B193A"/>
    <w:rsid w:val="007B1FDD"/>
    <w:rsid w:val="007D214D"/>
    <w:rsid w:val="007E0F9E"/>
    <w:rsid w:val="007E1D11"/>
    <w:rsid w:val="008068FD"/>
    <w:rsid w:val="00835D3B"/>
    <w:rsid w:val="0084040C"/>
    <w:rsid w:val="00857DC1"/>
    <w:rsid w:val="008740AD"/>
    <w:rsid w:val="008A7C20"/>
    <w:rsid w:val="008B175E"/>
    <w:rsid w:val="008B79E7"/>
    <w:rsid w:val="008C230D"/>
    <w:rsid w:val="008E5DC9"/>
    <w:rsid w:val="008F44AF"/>
    <w:rsid w:val="008F6793"/>
    <w:rsid w:val="008F7191"/>
    <w:rsid w:val="008F7BA1"/>
    <w:rsid w:val="0090599D"/>
    <w:rsid w:val="00906785"/>
    <w:rsid w:val="00907998"/>
    <w:rsid w:val="009166E4"/>
    <w:rsid w:val="009203A4"/>
    <w:rsid w:val="00920D75"/>
    <w:rsid w:val="00926077"/>
    <w:rsid w:val="009502E6"/>
    <w:rsid w:val="009507DD"/>
    <w:rsid w:val="0096191F"/>
    <w:rsid w:val="009822AE"/>
    <w:rsid w:val="00992098"/>
    <w:rsid w:val="00992A28"/>
    <w:rsid w:val="009A0448"/>
    <w:rsid w:val="009B28AE"/>
    <w:rsid w:val="009B7A9B"/>
    <w:rsid w:val="009C384D"/>
    <w:rsid w:val="009C40FE"/>
    <w:rsid w:val="009C59B6"/>
    <w:rsid w:val="009E509D"/>
    <w:rsid w:val="009F4491"/>
    <w:rsid w:val="009F553D"/>
    <w:rsid w:val="00A13842"/>
    <w:rsid w:val="00A13A6B"/>
    <w:rsid w:val="00A303F1"/>
    <w:rsid w:val="00A551A6"/>
    <w:rsid w:val="00A57FB2"/>
    <w:rsid w:val="00A671E2"/>
    <w:rsid w:val="00A82B9E"/>
    <w:rsid w:val="00A84295"/>
    <w:rsid w:val="00A86CCB"/>
    <w:rsid w:val="00AA3DBB"/>
    <w:rsid w:val="00AB2CD0"/>
    <w:rsid w:val="00AB34D2"/>
    <w:rsid w:val="00AB64F5"/>
    <w:rsid w:val="00AB78DD"/>
    <w:rsid w:val="00AC3910"/>
    <w:rsid w:val="00AC711D"/>
    <w:rsid w:val="00AC7A16"/>
    <w:rsid w:val="00AE0D7C"/>
    <w:rsid w:val="00B04D31"/>
    <w:rsid w:val="00B05F8D"/>
    <w:rsid w:val="00B06FC7"/>
    <w:rsid w:val="00B16C6F"/>
    <w:rsid w:val="00B16D8A"/>
    <w:rsid w:val="00B17ADB"/>
    <w:rsid w:val="00B27092"/>
    <w:rsid w:val="00B43C36"/>
    <w:rsid w:val="00B55DCF"/>
    <w:rsid w:val="00B71862"/>
    <w:rsid w:val="00B74AB2"/>
    <w:rsid w:val="00BA2478"/>
    <w:rsid w:val="00BA533A"/>
    <w:rsid w:val="00BA6751"/>
    <w:rsid w:val="00BB458B"/>
    <w:rsid w:val="00BC6AA1"/>
    <w:rsid w:val="00BD417C"/>
    <w:rsid w:val="00BD493B"/>
    <w:rsid w:val="00BE73AC"/>
    <w:rsid w:val="00BF5FA4"/>
    <w:rsid w:val="00C004B2"/>
    <w:rsid w:val="00C01062"/>
    <w:rsid w:val="00C16B3B"/>
    <w:rsid w:val="00C17DC0"/>
    <w:rsid w:val="00C51608"/>
    <w:rsid w:val="00C52E36"/>
    <w:rsid w:val="00C55DCA"/>
    <w:rsid w:val="00C7113C"/>
    <w:rsid w:val="00C7218C"/>
    <w:rsid w:val="00C90E56"/>
    <w:rsid w:val="00CA45BB"/>
    <w:rsid w:val="00CC0BC9"/>
    <w:rsid w:val="00CE7629"/>
    <w:rsid w:val="00D01E82"/>
    <w:rsid w:val="00D02551"/>
    <w:rsid w:val="00D04AF5"/>
    <w:rsid w:val="00D06BBF"/>
    <w:rsid w:val="00D10085"/>
    <w:rsid w:val="00D21927"/>
    <w:rsid w:val="00D22C7F"/>
    <w:rsid w:val="00D24978"/>
    <w:rsid w:val="00D262C3"/>
    <w:rsid w:val="00D349A4"/>
    <w:rsid w:val="00D4017A"/>
    <w:rsid w:val="00D401C4"/>
    <w:rsid w:val="00D40B06"/>
    <w:rsid w:val="00D42512"/>
    <w:rsid w:val="00D47E64"/>
    <w:rsid w:val="00D6171E"/>
    <w:rsid w:val="00D65705"/>
    <w:rsid w:val="00D76BCD"/>
    <w:rsid w:val="00D77A10"/>
    <w:rsid w:val="00D84EAC"/>
    <w:rsid w:val="00DA16C0"/>
    <w:rsid w:val="00DB1E24"/>
    <w:rsid w:val="00DB256C"/>
    <w:rsid w:val="00DC1489"/>
    <w:rsid w:val="00DC23E7"/>
    <w:rsid w:val="00DD1552"/>
    <w:rsid w:val="00DD5D0F"/>
    <w:rsid w:val="00DF102C"/>
    <w:rsid w:val="00E26273"/>
    <w:rsid w:val="00E30B88"/>
    <w:rsid w:val="00E3497D"/>
    <w:rsid w:val="00E37051"/>
    <w:rsid w:val="00E40D86"/>
    <w:rsid w:val="00E434B6"/>
    <w:rsid w:val="00E50981"/>
    <w:rsid w:val="00E51540"/>
    <w:rsid w:val="00E57839"/>
    <w:rsid w:val="00E669FF"/>
    <w:rsid w:val="00E66AF9"/>
    <w:rsid w:val="00E86C38"/>
    <w:rsid w:val="00E87658"/>
    <w:rsid w:val="00E96505"/>
    <w:rsid w:val="00EA411F"/>
    <w:rsid w:val="00EA7811"/>
    <w:rsid w:val="00EB3A36"/>
    <w:rsid w:val="00ED3A6E"/>
    <w:rsid w:val="00ED3E88"/>
    <w:rsid w:val="00ED4A5F"/>
    <w:rsid w:val="00ED791F"/>
    <w:rsid w:val="00EE4EEC"/>
    <w:rsid w:val="00EE5042"/>
    <w:rsid w:val="00EE5916"/>
    <w:rsid w:val="00F10975"/>
    <w:rsid w:val="00F2475B"/>
    <w:rsid w:val="00F3038D"/>
    <w:rsid w:val="00F4127F"/>
    <w:rsid w:val="00F45E22"/>
    <w:rsid w:val="00F4697E"/>
    <w:rsid w:val="00F46BCF"/>
    <w:rsid w:val="00F71B25"/>
    <w:rsid w:val="00F7254E"/>
    <w:rsid w:val="00F84B83"/>
    <w:rsid w:val="00F85996"/>
    <w:rsid w:val="00FB323B"/>
    <w:rsid w:val="00FC1045"/>
    <w:rsid w:val="00FC1AE8"/>
    <w:rsid w:val="00FC7626"/>
    <w:rsid w:val="00FD6ACF"/>
    <w:rsid w:val="00FD6F74"/>
    <w:rsid w:val="00FE2EA8"/>
    <w:rsid w:val="00FE51A9"/>
    <w:rsid w:val="00FF4D9B"/>
    <w:rsid w:val="00FF73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1A14"/>
  <w15:chartTrackingRefBased/>
  <w15:docId w15:val="{3FFF3452-4778-4A12-B369-D1DA9E8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iCs/>
        <w:sz w:val="28"/>
        <w:szCs w:val="26"/>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C4"/>
  </w:style>
  <w:style w:type="paragraph" w:styleId="Heading4">
    <w:name w:val="heading 4"/>
    <w:basedOn w:val="Normal"/>
    <w:link w:val="Heading4Char"/>
    <w:uiPriority w:val="9"/>
    <w:qFormat/>
    <w:rsid w:val="0012052F"/>
    <w:pPr>
      <w:spacing w:before="100" w:beforeAutospacing="1" w:after="100" w:afterAutospacing="1" w:line="240" w:lineRule="auto"/>
      <w:jc w:val="left"/>
      <w:outlineLvl w:val="3"/>
    </w:pPr>
    <w:rPr>
      <w:rFonts w:eastAsia="Times New Roman" w:cs="Times New Roman"/>
      <w:b/>
      <w:bCs/>
      <w:iCs w:val="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4DA3"/>
    <w:rPr>
      <w:b/>
      <w:bCs/>
    </w:rPr>
  </w:style>
  <w:style w:type="character" w:customStyle="1" w:styleId="fontstyle01">
    <w:name w:val="fontstyle01"/>
    <w:basedOn w:val="DefaultParagraphFont"/>
    <w:rsid w:val="00377BFD"/>
    <w:rPr>
      <w:rFonts w:ascii="Times New Roman" w:hAnsi="Times New Roman" w:cs="Times New Roman" w:hint="default"/>
      <w:b w:val="0"/>
      <w:bCs w:val="0"/>
      <w:i/>
      <w:iCs w:val="0"/>
      <w:color w:val="000000"/>
      <w:sz w:val="28"/>
      <w:szCs w:val="28"/>
    </w:rPr>
  </w:style>
  <w:style w:type="character" w:customStyle="1" w:styleId="t286pc">
    <w:name w:val="t286pc"/>
    <w:basedOn w:val="DefaultParagraphFont"/>
    <w:rsid w:val="00E57839"/>
  </w:style>
  <w:style w:type="paragraph" w:styleId="Header">
    <w:name w:val="header"/>
    <w:basedOn w:val="Normal"/>
    <w:link w:val="HeaderChar"/>
    <w:uiPriority w:val="99"/>
    <w:unhideWhenUsed/>
    <w:rsid w:val="0084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40C"/>
  </w:style>
  <w:style w:type="paragraph" w:styleId="Footer">
    <w:name w:val="footer"/>
    <w:basedOn w:val="Normal"/>
    <w:link w:val="FooterChar"/>
    <w:uiPriority w:val="99"/>
    <w:unhideWhenUsed/>
    <w:rsid w:val="0084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40C"/>
  </w:style>
  <w:style w:type="character" w:customStyle="1" w:styleId="Heading4Char">
    <w:name w:val="Heading 4 Char"/>
    <w:basedOn w:val="DefaultParagraphFont"/>
    <w:link w:val="Heading4"/>
    <w:uiPriority w:val="9"/>
    <w:rsid w:val="0012052F"/>
    <w:rPr>
      <w:rFonts w:eastAsia="Times New Roman" w:cs="Times New Roman"/>
      <w:b/>
      <w:bCs/>
      <w:iCs w:val="0"/>
      <w:sz w:val="24"/>
      <w:szCs w:val="24"/>
      <w:lang w:eastAsia="vi-VN"/>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Char Char Cha"/>
    <w:basedOn w:val="Normal"/>
    <w:link w:val="NormalWebChar"/>
    <w:uiPriority w:val="99"/>
    <w:qFormat/>
    <w:rsid w:val="00481265"/>
    <w:pPr>
      <w:spacing w:before="100" w:beforeAutospacing="1" w:after="100" w:afterAutospacing="1" w:line="240" w:lineRule="auto"/>
      <w:jc w:val="left"/>
    </w:pPr>
    <w:rPr>
      <w:rFonts w:eastAsia="Times New Roman" w:cs="Times New Roman"/>
      <w:iCs w:val="0"/>
      <w:sz w:val="24"/>
      <w:szCs w:val="24"/>
      <w:lang w:val="x-none" w:eastAsia="x-none"/>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rsid w:val="00481265"/>
    <w:rPr>
      <w:rFonts w:eastAsia="Times New Roman" w:cs="Times New Roman"/>
      <w:iCs w:val="0"/>
      <w:sz w:val="24"/>
      <w:szCs w:val="24"/>
      <w:lang w:val="x-none" w:eastAsia="x-none"/>
    </w:rPr>
  </w:style>
  <w:style w:type="paragraph" w:customStyle="1" w:styleId="05NidungVB">
    <w:name w:val="05 Nội dung VB"/>
    <w:basedOn w:val="Normal"/>
    <w:link w:val="05NidungVBChar"/>
    <w:rsid w:val="00481265"/>
    <w:pPr>
      <w:widowControl w:val="0"/>
      <w:spacing w:after="120" w:line="400" w:lineRule="atLeast"/>
      <w:ind w:firstLine="567"/>
    </w:pPr>
    <w:rPr>
      <w:rFonts w:eastAsia="Times New Roman" w:cs="Times New Roman"/>
      <w:iCs w:val="0"/>
      <w:szCs w:val="28"/>
      <w:lang w:val="x-none" w:eastAsia="x-none"/>
    </w:rPr>
  </w:style>
  <w:style w:type="character" w:customStyle="1" w:styleId="05NidungVBChar">
    <w:name w:val="05 Nội dung VB Char"/>
    <w:link w:val="05NidungVB"/>
    <w:rsid w:val="00481265"/>
    <w:rPr>
      <w:rFonts w:eastAsia="Times New Roman" w:cs="Times New Roman"/>
      <w:iCs w:val="0"/>
      <w:szCs w:val="28"/>
      <w:lang w:val="x-none" w:eastAsia="x-none"/>
    </w:rPr>
  </w:style>
  <w:style w:type="paragraph" w:styleId="FootnoteText">
    <w:name w:val="footnote text"/>
    <w:basedOn w:val="Normal"/>
    <w:link w:val="FootnoteTextChar"/>
    <w:uiPriority w:val="99"/>
    <w:semiHidden/>
    <w:unhideWhenUsed/>
    <w:rsid w:val="00D10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085"/>
    <w:rPr>
      <w:sz w:val="20"/>
      <w:szCs w:val="20"/>
    </w:rPr>
  </w:style>
  <w:style w:type="character" w:styleId="FootnoteReference">
    <w:name w:val="footnote reference"/>
    <w:basedOn w:val="DefaultParagraphFont"/>
    <w:uiPriority w:val="99"/>
    <w:semiHidden/>
    <w:unhideWhenUsed/>
    <w:rsid w:val="00D10085"/>
    <w:rPr>
      <w:vertAlign w:val="superscript"/>
    </w:rPr>
  </w:style>
  <w:style w:type="paragraph" w:styleId="ListParagraph">
    <w:name w:val="List Paragraph"/>
    <w:basedOn w:val="Normal"/>
    <w:uiPriority w:val="34"/>
    <w:qFormat/>
    <w:rsid w:val="00011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296">
      <w:bodyDiv w:val="1"/>
      <w:marLeft w:val="0"/>
      <w:marRight w:val="0"/>
      <w:marTop w:val="0"/>
      <w:marBottom w:val="0"/>
      <w:divBdr>
        <w:top w:val="none" w:sz="0" w:space="0" w:color="auto"/>
        <w:left w:val="none" w:sz="0" w:space="0" w:color="auto"/>
        <w:bottom w:val="none" w:sz="0" w:space="0" w:color="auto"/>
        <w:right w:val="none" w:sz="0" w:space="0" w:color="auto"/>
      </w:divBdr>
    </w:div>
    <w:div w:id="1563827863">
      <w:bodyDiv w:val="1"/>
      <w:marLeft w:val="0"/>
      <w:marRight w:val="0"/>
      <w:marTop w:val="0"/>
      <w:marBottom w:val="0"/>
      <w:divBdr>
        <w:top w:val="none" w:sz="0" w:space="0" w:color="auto"/>
        <w:left w:val="none" w:sz="0" w:space="0" w:color="auto"/>
        <w:bottom w:val="none" w:sz="0" w:space="0" w:color="auto"/>
        <w:right w:val="none" w:sz="0" w:space="0" w:color="auto"/>
      </w:divBdr>
    </w:div>
    <w:div w:id="1935047624">
      <w:bodyDiv w:val="1"/>
      <w:marLeft w:val="0"/>
      <w:marRight w:val="0"/>
      <w:marTop w:val="0"/>
      <w:marBottom w:val="0"/>
      <w:divBdr>
        <w:top w:val="none" w:sz="0" w:space="0" w:color="auto"/>
        <w:left w:val="none" w:sz="0" w:space="0" w:color="auto"/>
        <w:bottom w:val="none" w:sz="0" w:space="0" w:color="auto"/>
        <w:right w:val="none" w:sz="0" w:space="0" w:color="auto"/>
      </w:divBdr>
    </w:div>
    <w:div w:id="20364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1DEA-051B-4AA0-B30C-7610F34D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Hoàng Lâm Nguyễn</cp:lastModifiedBy>
  <cp:revision>4</cp:revision>
  <cp:lastPrinted>2025-12-01T08:44:00Z</cp:lastPrinted>
  <dcterms:created xsi:type="dcterms:W3CDTF">2025-12-25T09:57:00Z</dcterms:created>
  <dcterms:modified xsi:type="dcterms:W3CDTF">2025-12-25T10:19:00Z</dcterms:modified>
</cp:coreProperties>
</file>